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EFE245">
      <w:pPr>
        <w:adjustRightInd w:val="0"/>
        <w:snapToGrid w:val="0"/>
        <w:jc w:val="center"/>
        <w:rPr>
          <w:rFonts w:ascii="黑体" w:hAnsi="黑体" w:eastAsia="黑体"/>
          <w:color w:val="000000"/>
          <w:sz w:val="36"/>
          <w:szCs w:val="36"/>
        </w:rPr>
      </w:pPr>
      <w:r>
        <w:rPr>
          <w:rFonts w:hint="eastAsia" w:ascii="黑体" w:hAnsi="黑体" w:eastAsia="黑体"/>
          <w:color w:val="000000"/>
          <w:sz w:val="36"/>
          <w:szCs w:val="36"/>
        </w:rPr>
        <w:t>财政学  020203</w:t>
      </w:r>
    </w:p>
    <w:p w14:paraId="0D022796">
      <w:pPr>
        <w:adjustRightInd w:val="0"/>
        <w:snapToGrid w:val="0"/>
        <w:spacing w:line="400" w:lineRule="exact"/>
        <w:ind w:firstLine="482" w:firstLineChars="200"/>
        <w:rPr>
          <w:rFonts w:ascii="宋体" w:hAnsi="宋体"/>
          <w:color w:val="000000"/>
          <w:sz w:val="24"/>
        </w:rPr>
      </w:pPr>
      <w:r>
        <w:rPr>
          <w:rFonts w:hint="eastAsia" w:ascii="宋体" w:hAnsi="宋体"/>
          <w:b/>
          <w:color w:val="000000"/>
          <w:sz w:val="24"/>
          <w:szCs w:val="20"/>
        </w:rPr>
        <w:t>学科点简介:</w:t>
      </w:r>
      <w:r>
        <w:rPr>
          <w:rFonts w:hint="eastAsia" w:ascii="宋体" w:hAnsi="宋体"/>
          <w:color w:val="000000"/>
          <w:sz w:val="24"/>
        </w:rPr>
        <w:t xml:space="preserve"> </w:t>
      </w:r>
      <w:bookmarkStart w:id="0" w:name="_Hlk485974782"/>
      <w:r>
        <w:rPr>
          <w:rFonts w:hint="eastAsia" w:ascii="宋体" w:hAnsi="宋体"/>
          <w:color w:val="000000"/>
          <w:sz w:val="24"/>
        </w:rPr>
        <w:t>本学科点是广东财经大学省级优势重点学科应用经济学的重要组成部分，也是国家级特色专业、广东省名牌专业和广东省一流专业建设点。本学科点拥有广东省普通高校人文社科重点研究基地“广东地方公共财政研究中心”、广东省重点实验室“广东省财税大数据重点实验室”、广东省协同育人平台“税收学专业协同育人基地”及与广州市税务局共建的国家级大学生实践教学基地等多个高层次平台。现有教授</w:t>
      </w:r>
      <w:r>
        <w:rPr>
          <w:rFonts w:hint="eastAsia" w:ascii="宋体" w:hAnsi="宋体"/>
          <w:color w:val="000000"/>
          <w:sz w:val="24"/>
          <w:lang w:val="en-US" w:eastAsia="zh-CN"/>
        </w:rPr>
        <w:t>11</w:t>
      </w:r>
      <w:r>
        <w:rPr>
          <w:rFonts w:hint="eastAsia" w:ascii="宋体" w:hAnsi="宋体"/>
          <w:color w:val="000000"/>
          <w:sz w:val="24"/>
        </w:rPr>
        <w:t>人，副教授</w:t>
      </w:r>
      <w:r>
        <w:rPr>
          <w:rFonts w:hint="eastAsia" w:ascii="宋体" w:hAnsi="宋体"/>
          <w:color w:val="000000"/>
          <w:sz w:val="24"/>
          <w:lang w:val="en-US" w:eastAsia="zh-CN"/>
        </w:rPr>
        <w:t>26</w:t>
      </w:r>
      <w:r>
        <w:rPr>
          <w:rFonts w:hint="eastAsia" w:ascii="宋体" w:hAnsi="宋体"/>
          <w:color w:val="000000"/>
          <w:sz w:val="24"/>
        </w:rPr>
        <w:t>，其中，国务院特殊津贴专家1 人，博士生导师</w:t>
      </w:r>
      <w:r>
        <w:rPr>
          <w:rFonts w:hint="eastAsia" w:ascii="宋体" w:hAnsi="宋体"/>
          <w:color w:val="000000"/>
          <w:sz w:val="24"/>
          <w:lang w:val="en-US" w:eastAsia="zh-CN"/>
        </w:rPr>
        <w:t>2</w:t>
      </w:r>
      <w:r>
        <w:rPr>
          <w:rFonts w:hint="eastAsia" w:ascii="宋体" w:hAnsi="宋体"/>
          <w:color w:val="000000"/>
          <w:sz w:val="24"/>
        </w:rPr>
        <w:t>人，硕士生导师</w:t>
      </w:r>
      <w:r>
        <w:rPr>
          <w:rFonts w:hint="eastAsia" w:ascii="宋体" w:hAnsi="宋体"/>
          <w:color w:val="000000"/>
          <w:sz w:val="24"/>
          <w:lang w:val="en-US" w:eastAsia="zh-CN"/>
        </w:rPr>
        <w:t>41</w:t>
      </w:r>
      <w:r>
        <w:rPr>
          <w:rFonts w:hint="eastAsia" w:ascii="宋体" w:hAnsi="宋体"/>
          <w:color w:val="000000"/>
          <w:sz w:val="24"/>
        </w:rPr>
        <w:t>人，名誉教授2人</w:t>
      </w:r>
      <w:r>
        <w:rPr>
          <w:rFonts w:hint="eastAsia" w:ascii="宋体" w:hAnsi="宋体"/>
          <w:color w:val="000000"/>
          <w:sz w:val="24"/>
          <w:lang w:eastAsia="zh-CN"/>
        </w:rPr>
        <w:t>，</w:t>
      </w:r>
      <w:r>
        <w:rPr>
          <w:rFonts w:hint="eastAsia" w:ascii="宋体" w:hAnsi="宋体"/>
          <w:color w:val="000000"/>
          <w:sz w:val="24"/>
        </w:rPr>
        <w:t>客座教授</w:t>
      </w:r>
      <w:r>
        <w:rPr>
          <w:rFonts w:hint="eastAsia" w:ascii="宋体" w:hAnsi="宋体"/>
          <w:color w:val="000000"/>
          <w:sz w:val="24"/>
          <w:lang w:val="en-US" w:eastAsia="zh-CN"/>
        </w:rPr>
        <w:t>14</w:t>
      </w:r>
      <w:r>
        <w:rPr>
          <w:rFonts w:hint="eastAsia" w:ascii="宋体" w:hAnsi="宋体"/>
          <w:color w:val="000000"/>
          <w:sz w:val="24"/>
        </w:rPr>
        <w:t>人。近</w:t>
      </w:r>
      <w:r>
        <w:rPr>
          <w:rFonts w:hint="eastAsia" w:ascii="宋体" w:hAnsi="宋体"/>
          <w:color w:val="000000"/>
          <w:sz w:val="24"/>
          <w:lang w:val="en-US" w:eastAsia="zh-CN"/>
        </w:rPr>
        <w:t>3</w:t>
      </w:r>
      <w:r>
        <w:rPr>
          <w:rFonts w:hint="eastAsia" w:ascii="宋体" w:hAnsi="宋体"/>
          <w:color w:val="000000"/>
          <w:sz w:val="24"/>
        </w:rPr>
        <w:t>年学院教师承担各类科研项目</w:t>
      </w:r>
      <w:r>
        <w:rPr>
          <w:rFonts w:hint="eastAsia" w:ascii="宋体" w:hAnsi="宋体"/>
          <w:color w:val="000000"/>
          <w:sz w:val="24"/>
          <w:lang w:val="en-US" w:eastAsia="zh-CN"/>
        </w:rPr>
        <w:t>近100</w:t>
      </w:r>
      <w:r>
        <w:rPr>
          <w:rFonts w:hint="eastAsia" w:ascii="宋体" w:hAnsi="宋体" w:cs="宋体"/>
          <w:color w:val="000000"/>
          <w:sz w:val="24"/>
          <w:szCs w:val="20"/>
        </w:rPr>
        <w:t>项，其中国家级和省部级项目</w:t>
      </w:r>
      <w:r>
        <w:rPr>
          <w:rFonts w:hint="eastAsia" w:ascii="宋体" w:hAnsi="宋体" w:cs="宋体"/>
          <w:color w:val="000000"/>
          <w:sz w:val="24"/>
          <w:szCs w:val="20"/>
          <w:lang w:val="en-US" w:eastAsia="zh-CN"/>
        </w:rPr>
        <w:t>32</w:t>
      </w:r>
      <w:r>
        <w:rPr>
          <w:rFonts w:hint="eastAsia" w:ascii="宋体" w:hAnsi="宋体" w:cs="宋体"/>
          <w:color w:val="000000"/>
          <w:sz w:val="24"/>
          <w:szCs w:val="20"/>
        </w:rPr>
        <w:t>项，各类科研经费</w:t>
      </w:r>
      <w:r>
        <w:rPr>
          <w:rFonts w:hint="eastAsia" w:ascii="宋体" w:hAnsi="宋体" w:cs="宋体"/>
          <w:color w:val="000000"/>
          <w:sz w:val="24"/>
          <w:szCs w:val="20"/>
          <w:lang w:val="en-US" w:eastAsia="zh-CN"/>
        </w:rPr>
        <w:t>900余</w:t>
      </w:r>
      <w:r>
        <w:rPr>
          <w:rFonts w:hint="eastAsia" w:ascii="宋体" w:hAnsi="宋体" w:cs="宋体"/>
          <w:color w:val="000000"/>
          <w:sz w:val="24"/>
          <w:szCs w:val="20"/>
        </w:rPr>
        <w:t>万元，出版专著、教材、编著</w:t>
      </w:r>
      <w:r>
        <w:rPr>
          <w:rFonts w:hint="eastAsia" w:ascii="宋体" w:hAnsi="宋体" w:cs="宋体"/>
          <w:color w:val="000000"/>
          <w:sz w:val="24"/>
          <w:szCs w:val="20"/>
          <w:lang w:val="en-US" w:eastAsia="zh-CN"/>
        </w:rPr>
        <w:t>9</w:t>
      </w:r>
      <w:r>
        <w:rPr>
          <w:rFonts w:hint="eastAsia" w:ascii="宋体" w:hAnsi="宋体" w:cs="宋体"/>
          <w:color w:val="000000"/>
          <w:sz w:val="24"/>
          <w:szCs w:val="20"/>
        </w:rPr>
        <w:t>部，在《经济研究》等国内外核心刊物发表学术论文</w:t>
      </w:r>
      <w:r>
        <w:rPr>
          <w:rFonts w:hint="eastAsia" w:ascii="宋体" w:hAnsi="宋体" w:cs="宋体"/>
          <w:color w:val="000000"/>
          <w:sz w:val="24"/>
          <w:szCs w:val="20"/>
          <w:lang w:val="en-US" w:eastAsia="zh-CN"/>
        </w:rPr>
        <w:t>130余</w:t>
      </w:r>
      <w:r>
        <w:rPr>
          <w:rFonts w:hint="eastAsia" w:ascii="宋体" w:hAnsi="宋体" w:cs="宋体"/>
          <w:color w:val="000000"/>
          <w:sz w:val="24"/>
          <w:szCs w:val="20"/>
        </w:rPr>
        <w:t>篇，获省部级科研奖励</w:t>
      </w:r>
      <w:r>
        <w:rPr>
          <w:rFonts w:hint="eastAsia" w:ascii="宋体" w:hAnsi="宋体" w:cs="宋体"/>
          <w:color w:val="000000"/>
          <w:sz w:val="24"/>
          <w:szCs w:val="20"/>
          <w:lang w:val="en-US" w:eastAsia="zh-CN"/>
        </w:rPr>
        <w:t>3</w:t>
      </w:r>
      <w:r>
        <w:rPr>
          <w:rFonts w:hint="eastAsia" w:ascii="宋体" w:hAnsi="宋体" w:cs="宋体"/>
          <w:color w:val="000000"/>
          <w:sz w:val="24"/>
          <w:szCs w:val="20"/>
        </w:rPr>
        <w:t>人次，获省部级以上批示</w:t>
      </w:r>
      <w:r>
        <w:rPr>
          <w:rFonts w:hint="eastAsia" w:ascii="宋体" w:hAnsi="宋体" w:cs="宋体"/>
          <w:color w:val="000000"/>
          <w:sz w:val="24"/>
          <w:szCs w:val="20"/>
          <w:lang w:eastAsia="zh-CN"/>
        </w:rPr>
        <w:t>（</w:t>
      </w:r>
      <w:r>
        <w:rPr>
          <w:rFonts w:hint="eastAsia" w:ascii="宋体" w:hAnsi="宋体" w:cs="宋体"/>
          <w:color w:val="000000"/>
          <w:sz w:val="24"/>
          <w:szCs w:val="20"/>
          <w:lang w:val="en-US" w:eastAsia="zh-CN"/>
        </w:rPr>
        <w:t>采纳</w:t>
      </w:r>
      <w:r>
        <w:rPr>
          <w:rFonts w:hint="eastAsia" w:ascii="宋体" w:hAnsi="宋体" w:cs="宋体"/>
          <w:color w:val="000000"/>
          <w:sz w:val="24"/>
          <w:szCs w:val="20"/>
          <w:lang w:eastAsia="zh-CN"/>
        </w:rPr>
        <w:t>）</w:t>
      </w:r>
      <w:r>
        <w:rPr>
          <w:rFonts w:hint="eastAsia" w:ascii="宋体" w:hAnsi="宋体" w:cs="宋体"/>
          <w:color w:val="000000"/>
          <w:sz w:val="24"/>
          <w:szCs w:val="20"/>
          <w:lang w:val="en-US" w:eastAsia="zh-CN"/>
        </w:rPr>
        <w:t>23项</w:t>
      </w:r>
      <w:r>
        <w:rPr>
          <w:rFonts w:hint="eastAsia" w:ascii="宋体" w:hAnsi="宋体" w:cs="宋体"/>
          <w:color w:val="000000"/>
          <w:sz w:val="24"/>
          <w:szCs w:val="20"/>
        </w:rPr>
        <w:t>。近3年硕士毕业生中80%进入珠三角地区金融机构、国企、外企、知名事务所和机关事业单位工作。</w:t>
      </w:r>
      <w:r>
        <w:rPr>
          <w:rFonts w:hint="eastAsia" w:ascii="宋体" w:hAnsi="宋体"/>
          <w:color w:val="000000"/>
          <w:sz w:val="24"/>
        </w:rPr>
        <w:t>毕业生中涌现出全国十大杰出青年卫士、国家二级英模、国家级及省级税收征管能手、税务系统先进工作者等工作骨干以及知名企业家等一大批杰出校友。</w:t>
      </w:r>
      <w:bookmarkEnd w:id="0"/>
    </w:p>
    <w:p w14:paraId="540B6F99">
      <w:pPr>
        <w:snapToGrid w:val="0"/>
        <w:spacing w:line="400" w:lineRule="exact"/>
        <w:rPr>
          <w:rFonts w:ascii="宋体" w:hAnsi="宋体"/>
          <w:b/>
          <w:color w:val="000000"/>
          <w:sz w:val="24"/>
        </w:rPr>
      </w:pPr>
    </w:p>
    <w:p w14:paraId="6BEEFC6F">
      <w:pPr>
        <w:snapToGrid w:val="0"/>
        <w:spacing w:line="400" w:lineRule="exact"/>
        <w:ind w:firstLine="482" w:firstLineChars="200"/>
        <w:rPr>
          <w:rFonts w:ascii="宋体" w:hAnsi="宋体"/>
          <w:color w:val="000000"/>
          <w:sz w:val="24"/>
        </w:rPr>
      </w:pPr>
      <w:r>
        <w:rPr>
          <w:rFonts w:hint="eastAsia" w:ascii="宋体" w:hAnsi="宋体"/>
          <w:b/>
          <w:color w:val="000000"/>
          <w:sz w:val="24"/>
        </w:rPr>
        <w:t>培养目标：</w:t>
      </w:r>
      <w:r>
        <w:rPr>
          <w:rFonts w:hint="eastAsia" w:ascii="宋体" w:hAnsi="宋体"/>
          <w:color w:val="000000"/>
          <w:sz w:val="24"/>
        </w:rPr>
        <w:t>本学科点致力于培养具有良好的政治觉悟、优秀的道德品质、扎实的经济学基础、专业的财税能力的高层次人才，毕业生能够在党政部门和企事业单位承担财税相关的理论研究与各类实务工作。</w:t>
      </w:r>
    </w:p>
    <w:p w14:paraId="7372C922">
      <w:pPr>
        <w:spacing w:line="400" w:lineRule="exact"/>
        <w:rPr>
          <w:rFonts w:ascii="宋体" w:hAnsi="宋体"/>
          <w:b/>
          <w:color w:val="000000"/>
          <w:sz w:val="24"/>
        </w:rPr>
      </w:pPr>
    </w:p>
    <w:p w14:paraId="411C404F">
      <w:pPr>
        <w:spacing w:line="400" w:lineRule="exact"/>
        <w:ind w:firstLine="482" w:firstLineChars="200"/>
        <w:rPr>
          <w:rFonts w:ascii="宋体" w:hAnsi="宋体"/>
          <w:sz w:val="24"/>
        </w:rPr>
      </w:pPr>
      <w:r>
        <w:rPr>
          <w:rFonts w:hint="eastAsia" w:ascii="宋体" w:hAnsi="宋体"/>
          <w:b/>
          <w:color w:val="000000"/>
          <w:sz w:val="24"/>
        </w:rPr>
        <w:t>主要课程：</w:t>
      </w:r>
      <w:r>
        <w:rPr>
          <w:rFonts w:hint="eastAsia" w:ascii="仿宋_GB2312" w:eastAsia="仿宋_GB2312"/>
          <w:color w:val="000000"/>
          <w:szCs w:val="21"/>
        </w:rPr>
        <w:t xml:space="preserve"> </w:t>
      </w:r>
      <w:r>
        <w:rPr>
          <w:rFonts w:hint="eastAsia" w:ascii="宋体" w:hAnsi="宋体"/>
          <w:sz w:val="24"/>
        </w:rPr>
        <w:t>中级微观经济学、中级宏观经济学、计量经济学、公共财政学、税收经济学、政府预算与会计管理、财政政策与实务、税收政策与实务、财税管理信息系统、西方财税理论与制度（双语）、税收制度研究、税收管理与税收筹划、国际税收专题、财税应用系统的开发与设计等。</w:t>
      </w:r>
    </w:p>
    <w:p w14:paraId="787220EB">
      <w:pPr>
        <w:spacing w:line="400" w:lineRule="exact"/>
        <w:rPr>
          <w:rFonts w:ascii="宋体" w:hAnsi="宋体"/>
          <w:b/>
          <w:color w:val="000000"/>
          <w:sz w:val="24"/>
        </w:rPr>
      </w:pPr>
    </w:p>
    <w:p w14:paraId="44FB1337">
      <w:pPr>
        <w:spacing w:line="400" w:lineRule="exact"/>
        <w:ind w:firstLine="482" w:firstLineChars="200"/>
        <w:rPr>
          <w:rFonts w:ascii="宋体" w:hAnsi="宋体"/>
          <w:color w:val="000000"/>
          <w:sz w:val="24"/>
        </w:rPr>
      </w:pPr>
      <w:r>
        <w:rPr>
          <w:rFonts w:hint="eastAsia" w:ascii="宋体" w:hAnsi="宋体"/>
          <w:b/>
          <w:color w:val="000000"/>
          <w:sz w:val="24"/>
        </w:rPr>
        <w:t>就业方向：</w:t>
      </w:r>
      <w:r>
        <w:rPr>
          <w:rFonts w:hint="eastAsia" w:ascii="宋体" w:hAnsi="宋体"/>
          <w:color w:val="000000"/>
          <w:sz w:val="24"/>
        </w:rPr>
        <w:t>毕业生就业领域主要为财政、税务等党政</w:t>
      </w:r>
      <w:r>
        <w:rPr>
          <w:rFonts w:ascii="宋体" w:hAnsi="宋体"/>
          <w:color w:val="000000"/>
          <w:sz w:val="24"/>
        </w:rPr>
        <w:t>经济管理部门</w:t>
      </w:r>
      <w:r>
        <w:rPr>
          <w:rFonts w:hint="eastAsia" w:ascii="宋体" w:hAnsi="宋体"/>
          <w:color w:val="000000"/>
          <w:sz w:val="24"/>
        </w:rPr>
        <w:t>，以及科研单位、高等院校、中介机构、金融部门等各类企事业单位，还可以报考相关专业的博士研究生，继续求学深造。</w:t>
      </w:r>
    </w:p>
    <w:p w14:paraId="5574570A">
      <w:pPr>
        <w:spacing w:line="400" w:lineRule="exact"/>
        <w:rPr>
          <w:rFonts w:ascii="宋体" w:hAnsi="宋体"/>
          <w:b/>
          <w:color w:val="000000"/>
          <w:sz w:val="24"/>
        </w:rPr>
      </w:pPr>
    </w:p>
    <w:p w14:paraId="24168674">
      <w:pPr>
        <w:spacing w:line="400" w:lineRule="exact"/>
        <w:rPr>
          <w:rFonts w:ascii="宋体" w:hAnsi="宋体"/>
          <w:b/>
          <w:color w:val="000000"/>
          <w:sz w:val="24"/>
        </w:rPr>
      </w:pPr>
    </w:p>
    <w:p w14:paraId="53B667DD">
      <w:pPr>
        <w:spacing w:line="400" w:lineRule="exact"/>
        <w:rPr>
          <w:rFonts w:ascii="宋体" w:hAnsi="宋体"/>
          <w:b/>
          <w:color w:val="000000"/>
          <w:sz w:val="24"/>
        </w:rPr>
      </w:pPr>
    </w:p>
    <w:p w14:paraId="21BCDE81">
      <w:pPr>
        <w:spacing w:line="400" w:lineRule="exact"/>
        <w:rPr>
          <w:rFonts w:ascii="宋体" w:hAnsi="宋体"/>
          <w:b/>
          <w:color w:val="000000"/>
          <w:sz w:val="24"/>
        </w:rPr>
      </w:pPr>
    </w:p>
    <w:p w14:paraId="0220D6B8">
      <w:pPr>
        <w:spacing w:line="400" w:lineRule="exact"/>
        <w:rPr>
          <w:rFonts w:ascii="宋体" w:hAnsi="宋体"/>
          <w:b/>
          <w:color w:val="000000"/>
          <w:sz w:val="24"/>
        </w:rPr>
      </w:pPr>
    </w:p>
    <w:p w14:paraId="1AC7FFAC">
      <w:pPr>
        <w:spacing w:line="400" w:lineRule="exact"/>
        <w:rPr>
          <w:rFonts w:ascii="宋体" w:hAnsi="宋体"/>
          <w:b/>
          <w:color w:val="000000"/>
          <w:sz w:val="24"/>
        </w:rPr>
      </w:pPr>
    </w:p>
    <w:p w14:paraId="40F7333F">
      <w:pPr>
        <w:spacing w:line="400" w:lineRule="exact"/>
        <w:rPr>
          <w:rFonts w:ascii="宋体" w:hAnsi="宋体"/>
          <w:b/>
          <w:color w:val="000000"/>
          <w:sz w:val="24"/>
        </w:rPr>
      </w:pPr>
    </w:p>
    <w:p w14:paraId="03C094BF">
      <w:pPr>
        <w:spacing w:line="400" w:lineRule="exact"/>
        <w:rPr>
          <w:rFonts w:ascii="宋体" w:hAnsi="宋体"/>
          <w:b/>
          <w:color w:val="000000"/>
          <w:sz w:val="24"/>
        </w:rPr>
      </w:pPr>
      <w:r>
        <w:rPr>
          <w:rFonts w:hint="eastAsia" w:ascii="宋体" w:hAnsi="宋体"/>
          <w:b/>
          <w:color w:val="000000"/>
          <w:sz w:val="24"/>
        </w:rPr>
        <w:t>专业代码：020203</w:t>
      </w:r>
      <w:r>
        <w:rPr>
          <w:rFonts w:ascii="宋体" w:hAnsi="宋体"/>
          <w:b/>
          <w:color w:val="000000"/>
          <w:sz w:val="24"/>
        </w:rPr>
        <w:t xml:space="preserve">    </w:t>
      </w:r>
      <w:r>
        <w:rPr>
          <w:rFonts w:hint="eastAsia" w:ascii="宋体" w:hAnsi="宋体"/>
          <w:b/>
          <w:color w:val="000000"/>
          <w:sz w:val="24"/>
        </w:rPr>
        <w:t xml:space="preserve">         咨询电话： 020-84096884</w:t>
      </w:r>
    </w:p>
    <w:tbl>
      <w:tblPr>
        <w:tblStyle w:val="4"/>
        <w:tblW w:w="808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2268"/>
        <w:gridCol w:w="3119"/>
        <w:gridCol w:w="1984"/>
      </w:tblGrid>
      <w:tr w14:paraId="15BC15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trPr>
        <w:tc>
          <w:tcPr>
            <w:tcW w:w="709" w:type="dxa"/>
            <w:vAlign w:val="center"/>
          </w:tcPr>
          <w:p w14:paraId="65E5552A">
            <w:pPr>
              <w:jc w:val="center"/>
              <w:rPr>
                <w:rFonts w:ascii="宋体" w:hAnsi="宋体"/>
                <w:b/>
              </w:rPr>
            </w:pPr>
            <w:r>
              <w:rPr>
                <w:rFonts w:hint="eastAsia" w:ascii="宋体" w:hAnsi="宋体"/>
                <w:b/>
              </w:rPr>
              <w:t>序号</w:t>
            </w:r>
          </w:p>
        </w:tc>
        <w:tc>
          <w:tcPr>
            <w:tcW w:w="2268" w:type="dxa"/>
            <w:vAlign w:val="center"/>
          </w:tcPr>
          <w:p w14:paraId="0BF6B0D2">
            <w:pPr>
              <w:jc w:val="center"/>
              <w:rPr>
                <w:rFonts w:ascii="宋体" w:hAnsi="宋体"/>
                <w:b/>
              </w:rPr>
            </w:pPr>
            <w:r>
              <w:rPr>
                <w:rFonts w:hint="eastAsia" w:ascii="宋体" w:hAnsi="宋体"/>
                <w:b/>
              </w:rPr>
              <w:t>研究方向</w:t>
            </w:r>
          </w:p>
        </w:tc>
        <w:tc>
          <w:tcPr>
            <w:tcW w:w="3119" w:type="dxa"/>
            <w:vAlign w:val="center"/>
          </w:tcPr>
          <w:p w14:paraId="3BB90250">
            <w:pPr>
              <w:jc w:val="center"/>
              <w:rPr>
                <w:rFonts w:ascii="宋体" w:hAnsi="宋体"/>
                <w:b/>
                <w:szCs w:val="21"/>
              </w:rPr>
            </w:pPr>
            <w:r>
              <w:rPr>
                <w:rFonts w:hint="eastAsia" w:ascii="宋体" w:hAnsi="宋体"/>
                <w:b/>
                <w:szCs w:val="21"/>
              </w:rPr>
              <w:t>初试科目</w:t>
            </w:r>
          </w:p>
        </w:tc>
        <w:tc>
          <w:tcPr>
            <w:tcW w:w="1984" w:type="dxa"/>
            <w:vAlign w:val="center"/>
          </w:tcPr>
          <w:p w14:paraId="4798D612">
            <w:pPr>
              <w:jc w:val="center"/>
              <w:rPr>
                <w:rFonts w:ascii="宋体" w:hAnsi="宋体"/>
                <w:b/>
              </w:rPr>
            </w:pPr>
            <w:r>
              <w:rPr>
                <w:rFonts w:hint="eastAsia" w:ascii="宋体" w:hAnsi="宋体"/>
                <w:b/>
              </w:rPr>
              <w:t>复试科目</w:t>
            </w:r>
          </w:p>
        </w:tc>
      </w:tr>
      <w:tr w14:paraId="0D3B79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7" w:hRule="atLeast"/>
        </w:trPr>
        <w:tc>
          <w:tcPr>
            <w:tcW w:w="709" w:type="dxa"/>
            <w:vAlign w:val="center"/>
          </w:tcPr>
          <w:p w14:paraId="53D2B02F">
            <w:pPr>
              <w:adjustRightInd w:val="0"/>
              <w:snapToGrid w:val="0"/>
              <w:rPr>
                <w:rFonts w:ascii="宋体" w:hAnsi="宋体" w:cs="宋体"/>
                <w:color w:val="000000"/>
                <w:sz w:val="24"/>
              </w:rPr>
            </w:pPr>
            <w:r>
              <w:rPr>
                <w:rFonts w:hint="eastAsia" w:ascii="宋体" w:hAnsi="宋体" w:cs="宋体"/>
                <w:color w:val="000000"/>
                <w:sz w:val="24"/>
              </w:rPr>
              <w:t>1</w:t>
            </w:r>
          </w:p>
        </w:tc>
        <w:tc>
          <w:tcPr>
            <w:tcW w:w="2268" w:type="dxa"/>
            <w:vAlign w:val="center"/>
          </w:tcPr>
          <w:p w14:paraId="656DBEAC">
            <w:pPr>
              <w:adjustRightInd w:val="0"/>
              <w:snapToGrid w:val="0"/>
              <w:rPr>
                <w:rFonts w:ascii="宋体" w:hAnsi="宋体" w:cs="宋体"/>
                <w:color w:val="000000"/>
                <w:sz w:val="24"/>
              </w:rPr>
            </w:pPr>
            <w:r>
              <w:rPr>
                <w:rFonts w:hint="eastAsia" w:ascii="宋体" w:hAnsi="宋体" w:cs="宋体"/>
                <w:color w:val="000000"/>
                <w:sz w:val="24"/>
              </w:rPr>
              <w:t>税收理论与政策</w:t>
            </w:r>
          </w:p>
        </w:tc>
        <w:tc>
          <w:tcPr>
            <w:tcW w:w="3119" w:type="dxa"/>
            <w:vMerge w:val="restart"/>
            <w:vAlign w:val="center"/>
          </w:tcPr>
          <w:p w14:paraId="59F18A5B">
            <w:pPr>
              <w:adjustRightInd w:val="0"/>
              <w:snapToGrid w:val="0"/>
              <w:rPr>
                <w:rFonts w:ascii="宋体" w:hAnsi="宋体" w:cs="宋体"/>
                <w:color w:val="000000"/>
                <w:sz w:val="24"/>
              </w:rPr>
            </w:pPr>
            <w:r>
              <w:rPr>
                <w:rFonts w:hint="eastAsia" w:ascii="宋体" w:hAnsi="宋体" w:cs="宋体"/>
                <w:color w:val="000000"/>
                <w:sz w:val="24"/>
              </w:rPr>
              <w:t>（1）▲思想政治理论（100分）</w:t>
            </w:r>
          </w:p>
          <w:p w14:paraId="04092643">
            <w:pPr>
              <w:adjustRightInd w:val="0"/>
              <w:snapToGrid w:val="0"/>
              <w:rPr>
                <w:rFonts w:ascii="宋体" w:hAnsi="宋体" w:cs="宋体"/>
                <w:color w:val="000000"/>
                <w:sz w:val="24"/>
              </w:rPr>
            </w:pPr>
            <w:r>
              <w:rPr>
                <w:rFonts w:hint="eastAsia" w:ascii="宋体" w:hAnsi="宋体" w:cs="宋体"/>
                <w:color w:val="000000"/>
                <w:sz w:val="24"/>
              </w:rPr>
              <w:t>（2）▲英语一（100分）</w:t>
            </w:r>
          </w:p>
          <w:p w14:paraId="17A2E212">
            <w:pPr>
              <w:adjustRightInd w:val="0"/>
              <w:snapToGrid w:val="0"/>
              <w:rPr>
                <w:rFonts w:ascii="宋体" w:hAnsi="宋体" w:cs="宋体"/>
                <w:color w:val="000000"/>
                <w:sz w:val="24"/>
              </w:rPr>
            </w:pPr>
            <w:r>
              <w:rPr>
                <w:rFonts w:hint="eastAsia" w:ascii="宋体" w:hAnsi="宋体" w:cs="宋体"/>
                <w:color w:val="000000"/>
                <w:sz w:val="24"/>
              </w:rPr>
              <w:t>（3）▲数学三（150分）</w:t>
            </w:r>
          </w:p>
          <w:p w14:paraId="04D7189B">
            <w:pPr>
              <w:adjustRightInd w:val="0"/>
              <w:snapToGrid w:val="0"/>
              <w:rPr>
                <w:rFonts w:ascii="宋体" w:hAnsi="宋体" w:cs="宋体"/>
                <w:color w:val="000000"/>
                <w:sz w:val="24"/>
              </w:rPr>
            </w:pPr>
            <w:r>
              <w:rPr>
                <w:rFonts w:hint="eastAsia" w:ascii="宋体" w:hAnsi="宋体" w:cs="宋体"/>
                <w:color w:val="000000"/>
                <w:sz w:val="24"/>
              </w:rPr>
              <w:t>（4）经济学基础（150分）</w:t>
            </w:r>
          </w:p>
        </w:tc>
        <w:tc>
          <w:tcPr>
            <w:tcW w:w="1984" w:type="dxa"/>
            <w:vMerge w:val="restart"/>
            <w:vAlign w:val="center"/>
          </w:tcPr>
          <w:p w14:paraId="576087F7">
            <w:pPr>
              <w:adjustRightInd w:val="0"/>
              <w:snapToGrid w:val="0"/>
              <w:rPr>
                <w:rFonts w:ascii="宋体" w:hAnsi="宋体" w:cs="宋体"/>
                <w:color w:val="000000"/>
                <w:sz w:val="24"/>
              </w:rPr>
            </w:pPr>
            <w:r>
              <w:rPr>
                <w:rFonts w:hint="eastAsia" w:ascii="宋体" w:hAnsi="宋体" w:cs="宋体"/>
                <w:color w:val="000000"/>
                <w:sz w:val="24"/>
              </w:rPr>
              <w:t>F503-财政学（100分）</w:t>
            </w:r>
          </w:p>
          <w:p w14:paraId="2F67DF23">
            <w:pPr>
              <w:adjustRightInd w:val="0"/>
              <w:snapToGrid w:val="0"/>
              <w:rPr>
                <w:rFonts w:ascii="宋体" w:hAnsi="宋体" w:cs="宋体"/>
                <w:color w:val="000000"/>
                <w:sz w:val="24"/>
              </w:rPr>
            </w:pPr>
          </w:p>
        </w:tc>
      </w:tr>
      <w:tr w14:paraId="09AF77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7" w:hRule="atLeast"/>
        </w:trPr>
        <w:tc>
          <w:tcPr>
            <w:tcW w:w="709" w:type="dxa"/>
            <w:vAlign w:val="center"/>
          </w:tcPr>
          <w:p w14:paraId="747357C9">
            <w:pPr>
              <w:adjustRightInd w:val="0"/>
              <w:snapToGrid w:val="0"/>
              <w:rPr>
                <w:rFonts w:ascii="宋体" w:hAnsi="宋体" w:cs="宋体"/>
                <w:color w:val="000000"/>
                <w:sz w:val="24"/>
              </w:rPr>
            </w:pPr>
            <w:r>
              <w:rPr>
                <w:rFonts w:hint="eastAsia" w:ascii="宋体" w:hAnsi="宋体" w:cs="宋体"/>
                <w:color w:val="000000"/>
                <w:sz w:val="24"/>
              </w:rPr>
              <w:t>2</w:t>
            </w:r>
          </w:p>
        </w:tc>
        <w:tc>
          <w:tcPr>
            <w:tcW w:w="2268" w:type="dxa"/>
            <w:vAlign w:val="center"/>
          </w:tcPr>
          <w:p w14:paraId="268D367A">
            <w:pPr>
              <w:adjustRightInd w:val="0"/>
              <w:snapToGrid w:val="0"/>
              <w:rPr>
                <w:rFonts w:ascii="宋体" w:hAnsi="宋体" w:cs="宋体"/>
                <w:color w:val="000000"/>
                <w:sz w:val="24"/>
              </w:rPr>
            </w:pPr>
            <w:r>
              <w:rPr>
                <w:rFonts w:hint="eastAsia" w:ascii="宋体" w:hAnsi="宋体" w:cs="宋体"/>
                <w:color w:val="000000"/>
                <w:sz w:val="24"/>
              </w:rPr>
              <w:t>财政理论与政策</w:t>
            </w:r>
          </w:p>
        </w:tc>
        <w:tc>
          <w:tcPr>
            <w:tcW w:w="3119" w:type="dxa"/>
            <w:vMerge w:val="continue"/>
            <w:vAlign w:val="center"/>
          </w:tcPr>
          <w:p w14:paraId="21C46C78">
            <w:pPr>
              <w:adjustRightInd w:val="0"/>
              <w:snapToGrid w:val="0"/>
              <w:rPr>
                <w:rFonts w:ascii="宋体" w:hAnsi="宋体" w:cs="宋体"/>
                <w:color w:val="000000"/>
                <w:sz w:val="24"/>
              </w:rPr>
            </w:pPr>
          </w:p>
        </w:tc>
        <w:tc>
          <w:tcPr>
            <w:tcW w:w="1984" w:type="dxa"/>
            <w:vMerge w:val="continue"/>
          </w:tcPr>
          <w:p w14:paraId="4F510EA6">
            <w:pPr>
              <w:adjustRightInd w:val="0"/>
              <w:snapToGrid w:val="0"/>
              <w:rPr>
                <w:rFonts w:ascii="宋体" w:hAnsi="宋体" w:cs="宋体"/>
                <w:color w:val="000000"/>
                <w:sz w:val="24"/>
              </w:rPr>
            </w:pPr>
          </w:p>
        </w:tc>
      </w:tr>
      <w:tr w14:paraId="69B6B5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7" w:hRule="atLeast"/>
        </w:trPr>
        <w:tc>
          <w:tcPr>
            <w:tcW w:w="709" w:type="dxa"/>
            <w:tcBorders>
              <w:bottom w:val="single" w:color="auto" w:sz="4" w:space="0"/>
            </w:tcBorders>
            <w:vAlign w:val="center"/>
          </w:tcPr>
          <w:p w14:paraId="50005947">
            <w:pPr>
              <w:adjustRightInd w:val="0"/>
              <w:snapToGrid w:val="0"/>
              <w:rPr>
                <w:rFonts w:ascii="宋体" w:hAnsi="宋体" w:cs="宋体"/>
                <w:color w:val="000000"/>
                <w:sz w:val="24"/>
              </w:rPr>
            </w:pPr>
            <w:r>
              <w:rPr>
                <w:rFonts w:hint="eastAsia" w:ascii="宋体" w:hAnsi="宋体" w:cs="宋体"/>
                <w:color w:val="000000"/>
                <w:sz w:val="24"/>
              </w:rPr>
              <w:t>3</w:t>
            </w:r>
          </w:p>
        </w:tc>
        <w:tc>
          <w:tcPr>
            <w:tcW w:w="2268" w:type="dxa"/>
            <w:tcBorders>
              <w:bottom w:val="single" w:color="auto" w:sz="4" w:space="0"/>
            </w:tcBorders>
            <w:vAlign w:val="center"/>
          </w:tcPr>
          <w:p w14:paraId="21150AE9">
            <w:pPr>
              <w:adjustRightInd w:val="0"/>
              <w:snapToGrid w:val="0"/>
              <w:rPr>
                <w:rFonts w:ascii="宋体" w:hAnsi="宋体"/>
                <w:iCs/>
                <w:sz w:val="24"/>
              </w:rPr>
            </w:pPr>
            <w:r>
              <w:rPr>
                <w:rFonts w:hint="eastAsia" w:ascii="宋体" w:hAnsi="宋体"/>
                <w:iCs/>
                <w:sz w:val="24"/>
              </w:rPr>
              <w:t>数字财税</w:t>
            </w:r>
          </w:p>
        </w:tc>
        <w:tc>
          <w:tcPr>
            <w:tcW w:w="3119" w:type="dxa"/>
            <w:vMerge w:val="continue"/>
            <w:tcBorders>
              <w:bottom w:val="single" w:color="auto" w:sz="4" w:space="0"/>
            </w:tcBorders>
            <w:vAlign w:val="center"/>
          </w:tcPr>
          <w:p w14:paraId="04B0BA48">
            <w:pPr>
              <w:adjustRightInd w:val="0"/>
              <w:snapToGrid w:val="0"/>
              <w:rPr>
                <w:rFonts w:ascii="宋体" w:hAnsi="宋体" w:cs="宋体"/>
                <w:color w:val="000000"/>
                <w:sz w:val="24"/>
              </w:rPr>
            </w:pPr>
          </w:p>
        </w:tc>
        <w:tc>
          <w:tcPr>
            <w:tcW w:w="1984" w:type="dxa"/>
            <w:vMerge w:val="continue"/>
            <w:tcBorders>
              <w:bottom w:val="single" w:color="auto" w:sz="4" w:space="0"/>
            </w:tcBorders>
          </w:tcPr>
          <w:p w14:paraId="0AED3D66">
            <w:pPr>
              <w:adjustRightInd w:val="0"/>
              <w:snapToGrid w:val="0"/>
              <w:rPr>
                <w:rFonts w:ascii="宋体" w:hAnsi="宋体" w:cs="宋体"/>
                <w:color w:val="000000"/>
                <w:sz w:val="24"/>
              </w:rPr>
            </w:pPr>
          </w:p>
        </w:tc>
      </w:tr>
    </w:tbl>
    <w:p w14:paraId="4FA3B8F6">
      <w:pPr>
        <w:adjustRightInd w:val="0"/>
        <w:snapToGrid w:val="0"/>
        <w:rPr>
          <w:b/>
          <w:bCs/>
        </w:rPr>
      </w:pPr>
      <w:r>
        <w:rPr>
          <w:rFonts w:hint="eastAsia"/>
          <w:b/>
          <w:bCs/>
        </w:rPr>
        <w:t>▲</w:t>
      </w:r>
      <w:r>
        <w:rPr>
          <w:rFonts w:hint="eastAsia" w:ascii="仿宋_GB2312" w:hAnsi="宋体" w:eastAsia="仿宋_GB2312"/>
          <w:b/>
          <w:bCs/>
          <w:color w:val="000000"/>
          <w:sz w:val="24"/>
        </w:rPr>
        <w:t>表示统考科目或联考科目，考试题型、考试大纲以教育部公布为准,其他为自命题科目。</w:t>
      </w:r>
    </w:p>
    <w:p w14:paraId="5F217166">
      <w:pPr>
        <w:snapToGrid w:val="0"/>
        <w:rPr>
          <w:rFonts w:eastAsia="黑体"/>
          <w:color w:val="FF00FF"/>
          <w:sz w:val="24"/>
        </w:rPr>
      </w:pPr>
    </w:p>
    <w:p w14:paraId="10B653AA">
      <w:pPr>
        <w:snapToGrid w:val="0"/>
        <w:rPr>
          <w:rFonts w:ascii="宋体" w:hAnsi="宋体" w:cs="宋体"/>
          <w:b/>
          <w:sz w:val="24"/>
        </w:rPr>
      </w:pPr>
      <w:r>
        <w:rPr>
          <w:rFonts w:hint="eastAsia" w:ascii="宋体" w:hAnsi="宋体" w:cs="宋体"/>
          <w:b/>
          <w:sz w:val="24"/>
        </w:rPr>
        <w:t>自命题考试题型及相应分值：</w:t>
      </w:r>
    </w:p>
    <w:p w14:paraId="11A63EBE">
      <w:pPr>
        <w:adjustRightInd w:val="0"/>
        <w:snapToGrid w:val="0"/>
        <w:jc w:val="left"/>
        <w:rPr>
          <w:rFonts w:ascii="宋体" w:hAnsi="宋体" w:cs="宋体"/>
          <w:b/>
          <w:sz w:val="24"/>
        </w:rPr>
      </w:pPr>
      <w:r>
        <w:rPr>
          <w:rFonts w:hint="eastAsia" w:ascii="宋体" w:hAnsi="宋体" w:cs="宋体"/>
          <w:b/>
          <w:sz w:val="24"/>
        </w:rPr>
        <w:t>《经济学基础》</w:t>
      </w:r>
    </w:p>
    <w:p w14:paraId="707D2B5B">
      <w:pPr>
        <w:widowControl/>
        <w:snapToGrid w:val="0"/>
        <w:spacing w:line="360" w:lineRule="auto"/>
        <w:ind w:firstLine="480"/>
        <w:rPr>
          <w:rFonts w:ascii="宋体" w:hAnsi="宋体" w:cs="宋体"/>
          <w:color w:val="000000"/>
          <w:sz w:val="24"/>
          <w:shd w:val="clear" w:color="auto" w:fill="FFFFFF"/>
        </w:rPr>
      </w:pPr>
      <w:r>
        <w:rPr>
          <w:rFonts w:hint="eastAsia" w:ascii="宋体" w:hAnsi="宋体" w:cs="宋体"/>
          <w:color w:val="000000"/>
          <w:sz w:val="24"/>
          <w:shd w:val="clear" w:color="auto" w:fill="FFFFFF"/>
        </w:rPr>
        <w:t>（1）名词解释（6题，每题5分，共30分）</w:t>
      </w:r>
    </w:p>
    <w:p w14:paraId="182C5E93">
      <w:pPr>
        <w:widowControl/>
        <w:snapToGrid w:val="0"/>
        <w:spacing w:line="360" w:lineRule="auto"/>
        <w:ind w:firstLine="480"/>
        <w:rPr>
          <w:rFonts w:ascii="宋体" w:hAnsi="宋体" w:cs="宋体"/>
          <w:color w:val="000000"/>
          <w:sz w:val="24"/>
          <w:shd w:val="clear" w:color="auto" w:fill="FFFFFF"/>
        </w:rPr>
      </w:pPr>
      <w:r>
        <w:rPr>
          <w:rFonts w:hint="eastAsia" w:ascii="宋体" w:hAnsi="宋体" w:cs="宋体"/>
          <w:color w:val="000000"/>
          <w:sz w:val="24"/>
          <w:shd w:val="clear" w:color="auto" w:fill="FFFFFF"/>
        </w:rPr>
        <w:t>（2）简答题（6题，每题10分，共60分）</w:t>
      </w:r>
    </w:p>
    <w:p w14:paraId="3070DEC8">
      <w:pPr>
        <w:widowControl/>
        <w:snapToGrid w:val="0"/>
        <w:spacing w:line="360" w:lineRule="auto"/>
        <w:ind w:firstLine="480"/>
        <w:rPr>
          <w:rFonts w:ascii="宋体" w:hAnsi="宋体" w:cs="宋体"/>
          <w:color w:val="000000"/>
          <w:sz w:val="24"/>
          <w:shd w:val="clear" w:color="auto" w:fill="FFFFFF"/>
        </w:rPr>
      </w:pPr>
      <w:r>
        <w:rPr>
          <w:rFonts w:hint="eastAsia" w:ascii="宋体" w:hAnsi="宋体" w:cs="宋体"/>
          <w:color w:val="000000"/>
          <w:sz w:val="24"/>
          <w:shd w:val="clear" w:color="auto" w:fill="FFFFFF"/>
        </w:rPr>
        <w:t>（3）论述题（2题，每题30分，共60分）</w:t>
      </w:r>
    </w:p>
    <w:p w14:paraId="176B38F2">
      <w:pPr>
        <w:widowControl/>
        <w:snapToGrid w:val="0"/>
        <w:spacing w:line="360" w:lineRule="auto"/>
        <w:rPr>
          <w:rFonts w:ascii="宋体" w:hAnsi="宋体" w:cs="宋体"/>
          <w:color w:val="000000"/>
          <w:sz w:val="24"/>
          <w:shd w:val="clear" w:color="auto" w:fill="FFFFFF"/>
        </w:rPr>
      </w:pPr>
      <w:r>
        <w:rPr>
          <w:rFonts w:hint="eastAsia" w:ascii="宋体" w:hAnsi="宋体" w:cs="宋体"/>
          <w:color w:val="000000"/>
          <w:sz w:val="24"/>
          <w:shd w:val="clear" w:color="auto" w:fill="FFFFFF"/>
        </w:rPr>
        <w:t>参考书目：高鸿业：《西方经济学(宏/微观)》第7版 ，中国人民大学出版社，2018年。</w:t>
      </w:r>
    </w:p>
    <w:p w14:paraId="12CDD23C">
      <w:pPr>
        <w:adjustRightInd w:val="0"/>
        <w:snapToGrid w:val="0"/>
        <w:spacing w:line="360" w:lineRule="auto"/>
        <w:ind w:firstLine="120" w:firstLineChars="50"/>
        <w:jc w:val="left"/>
        <w:rPr>
          <w:rFonts w:ascii="宋体" w:hAnsi="宋体"/>
          <w:sz w:val="24"/>
        </w:rPr>
      </w:pPr>
      <w:bookmarkStart w:id="1" w:name="_GoBack"/>
      <w:bookmarkEnd w:id="1"/>
    </w:p>
    <w:p w14:paraId="57905B07">
      <w:pPr>
        <w:adjustRightInd w:val="0"/>
        <w:snapToGrid w:val="0"/>
        <w:spacing w:line="360" w:lineRule="auto"/>
        <w:rPr>
          <w:rFonts w:ascii="宋体" w:hAnsi="宋体"/>
          <w:b/>
          <w:sz w:val="24"/>
        </w:rPr>
      </w:pPr>
      <w:r>
        <w:rPr>
          <w:rFonts w:hint="eastAsia" w:ascii="宋体" w:hAnsi="宋体"/>
          <w:b/>
          <w:sz w:val="24"/>
        </w:rPr>
        <w:t>《财政学》</w:t>
      </w:r>
    </w:p>
    <w:p w14:paraId="0BD4C5A2">
      <w:pPr>
        <w:widowControl/>
        <w:snapToGrid w:val="0"/>
        <w:spacing w:line="360" w:lineRule="auto"/>
        <w:ind w:firstLine="480"/>
        <w:rPr>
          <w:rFonts w:ascii="宋体" w:hAnsi="宋体" w:cs="宋体"/>
          <w:color w:val="auto"/>
          <w:sz w:val="24"/>
          <w:shd w:val="clear" w:color="auto" w:fill="FFFFFF"/>
        </w:rPr>
      </w:pPr>
      <w:r>
        <w:rPr>
          <w:rFonts w:hint="eastAsia" w:ascii="宋体" w:hAnsi="宋体" w:cs="宋体"/>
          <w:color w:val="auto"/>
          <w:sz w:val="24"/>
          <w:shd w:val="clear" w:color="auto" w:fill="FFFFFF"/>
        </w:rPr>
        <w:t>（1）选择题（2</w:t>
      </w:r>
      <w:r>
        <w:rPr>
          <w:rFonts w:ascii="宋体" w:hAnsi="宋体" w:cs="宋体"/>
          <w:color w:val="auto"/>
          <w:sz w:val="24"/>
          <w:shd w:val="clear" w:color="auto" w:fill="FFFFFF"/>
        </w:rPr>
        <w:t>0</w:t>
      </w:r>
      <w:r>
        <w:rPr>
          <w:rFonts w:hint="eastAsia" w:ascii="宋体" w:hAnsi="宋体" w:cs="宋体"/>
          <w:color w:val="auto"/>
          <w:sz w:val="24"/>
          <w:shd w:val="clear" w:color="auto" w:fill="FFFFFF"/>
        </w:rPr>
        <w:t>题，每题1分，共2</w:t>
      </w:r>
      <w:r>
        <w:rPr>
          <w:rFonts w:ascii="宋体" w:hAnsi="宋体" w:cs="宋体"/>
          <w:color w:val="auto"/>
          <w:sz w:val="24"/>
          <w:shd w:val="clear" w:color="auto" w:fill="FFFFFF"/>
        </w:rPr>
        <w:t>0</w:t>
      </w:r>
      <w:r>
        <w:rPr>
          <w:rFonts w:hint="eastAsia" w:ascii="宋体" w:hAnsi="宋体" w:cs="宋体"/>
          <w:color w:val="auto"/>
          <w:sz w:val="24"/>
          <w:shd w:val="clear" w:color="auto" w:fill="FFFFFF"/>
        </w:rPr>
        <w:t>分）</w:t>
      </w:r>
    </w:p>
    <w:p w14:paraId="6D43F76A">
      <w:pPr>
        <w:widowControl/>
        <w:snapToGrid w:val="0"/>
        <w:spacing w:line="360" w:lineRule="auto"/>
        <w:ind w:firstLine="480"/>
        <w:rPr>
          <w:rFonts w:ascii="宋体" w:hAnsi="宋体" w:cs="宋体"/>
          <w:color w:val="auto"/>
          <w:sz w:val="24"/>
          <w:shd w:val="clear" w:color="auto" w:fill="FFFFFF"/>
        </w:rPr>
      </w:pPr>
      <w:r>
        <w:rPr>
          <w:rFonts w:hint="eastAsia" w:ascii="宋体" w:hAnsi="宋体" w:cs="宋体"/>
          <w:color w:val="auto"/>
          <w:sz w:val="24"/>
          <w:shd w:val="clear" w:color="auto" w:fill="FFFFFF"/>
        </w:rPr>
        <w:t>（2）简答题（5题，每题</w:t>
      </w:r>
      <w:r>
        <w:rPr>
          <w:rFonts w:ascii="宋体" w:hAnsi="宋体" w:cs="宋体"/>
          <w:color w:val="auto"/>
          <w:sz w:val="24"/>
          <w:shd w:val="clear" w:color="auto" w:fill="FFFFFF"/>
        </w:rPr>
        <w:t>8</w:t>
      </w:r>
      <w:r>
        <w:rPr>
          <w:rFonts w:hint="eastAsia" w:ascii="宋体" w:hAnsi="宋体" w:cs="宋体"/>
          <w:color w:val="auto"/>
          <w:sz w:val="24"/>
          <w:shd w:val="clear" w:color="auto" w:fill="FFFFFF"/>
        </w:rPr>
        <w:t>分，共</w:t>
      </w:r>
      <w:r>
        <w:rPr>
          <w:rFonts w:ascii="宋体" w:hAnsi="宋体" w:cs="宋体"/>
          <w:color w:val="auto"/>
          <w:sz w:val="24"/>
          <w:shd w:val="clear" w:color="auto" w:fill="FFFFFF"/>
        </w:rPr>
        <w:t>4</w:t>
      </w:r>
      <w:r>
        <w:rPr>
          <w:rFonts w:hint="eastAsia" w:ascii="宋体" w:hAnsi="宋体" w:cs="宋体"/>
          <w:color w:val="auto"/>
          <w:sz w:val="24"/>
          <w:shd w:val="clear" w:color="auto" w:fill="FFFFFF"/>
        </w:rPr>
        <w:t>0分）</w:t>
      </w:r>
    </w:p>
    <w:p w14:paraId="1A8D1801">
      <w:pPr>
        <w:widowControl/>
        <w:snapToGrid w:val="0"/>
        <w:spacing w:line="360" w:lineRule="auto"/>
        <w:ind w:firstLine="480"/>
        <w:rPr>
          <w:rFonts w:ascii="宋体" w:hAnsi="宋体" w:cs="宋体"/>
          <w:color w:val="auto"/>
          <w:sz w:val="24"/>
          <w:shd w:val="clear" w:color="auto" w:fill="FFFFFF"/>
        </w:rPr>
      </w:pPr>
      <w:r>
        <w:rPr>
          <w:rFonts w:hint="eastAsia" w:ascii="宋体" w:hAnsi="宋体" w:cs="宋体"/>
          <w:color w:val="auto"/>
          <w:sz w:val="24"/>
          <w:shd w:val="clear" w:color="auto" w:fill="FFFFFF"/>
        </w:rPr>
        <w:t>（2）论述题（2题，每题2</w:t>
      </w:r>
      <w:r>
        <w:rPr>
          <w:rFonts w:ascii="宋体" w:hAnsi="宋体" w:cs="宋体"/>
          <w:color w:val="auto"/>
          <w:sz w:val="24"/>
          <w:shd w:val="clear" w:color="auto" w:fill="FFFFFF"/>
        </w:rPr>
        <w:t>0</w:t>
      </w:r>
      <w:r>
        <w:rPr>
          <w:rFonts w:hint="eastAsia" w:ascii="宋体" w:hAnsi="宋体" w:cs="宋体"/>
          <w:color w:val="auto"/>
          <w:sz w:val="24"/>
          <w:shd w:val="clear" w:color="auto" w:fill="FFFFFF"/>
        </w:rPr>
        <w:t>分，共</w:t>
      </w:r>
      <w:r>
        <w:rPr>
          <w:rFonts w:ascii="宋体" w:hAnsi="宋体" w:cs="宋体"/>
          <w:color w:val="auto"/>
          <w:sz w:val="24"/>
          <w:shd w:val="clear" w:color="auto" w:fill="FFFFFF"/>
        </w:rPr>
        <w:t>40</w:t>
      </w:r>
      <w:r>
        <w:rPr>
          <w:rFonts w:hint="eastAsia" w:ascii="宋体" w:hAnsi="宋体" w:cs="宋体"/>
          <w:color w:val="auto"/>
          <w:sz w:val="24"/>
          <w:shd w:val="clear" w:color="auto" w:fill="FFFFFF"/>
        </w:rPr>
        <w:t>分）</w:t>
      </w:r>
    </w:p>
    <w:p w14:paraId="6D6B9ED4">
      <w:pPr>
        <w:widowControl/>
        <w:snapToGrid w:val="0"/>
        <w:spacing w:line="360" w:lineRule="auto"/>
        <w:rPr>
          <w:rFonts w:ascii="宋体" w:hAnsi="宋体" w:cs="宋体"/>
          <w:color w:val="000000"/>
          <w:sz w:val="24"/>
          <w:shd w:val="clear" w:color="auto" w:fill="FFFFFF"/>
        </w:rPr>
      </w:pPr>
      <w:r>
        <w:rPr>
          <w:rFonts w:hint="eastAsia" w:ascii="宋体" w:hAnsi="宋体" w:cs="宋体"/>
          <w:color w:val="000000"/>
          <w:sz w:val="24"/>
          <w:shd w:val="clear" w:color="auto" w:fill="FFFFFF"/>
        </w:rPr>
        <w:t>参考书目：陈共：《财政学（第十版）》第十版，中国人民大学出版社，2020年。</w:t>
      </w:r>
    </w:p>
    <w:p w14:paraId="23E2F222">
      <w:pPr>
        <w:widowControl/>
        <w:snapToGrid w:val="0"/>
        <w:spacing w:line="360" w:lineRule="auto"/>
        <w:rPr>
          <w:rFonts w:ascii="宋体" w:hAnsi="宋体"/>
          <w:b/>
          <w:sz w:val="24"/>
        </w:rPr>
      </w:pPr>
      <w:r>
        <w:rPr>
          <w:rFonts w:hint="eastAsia" w:ascii="宋体" w:hAnsi="宋体"/>
          <w:b/>
          <w:sz w:val="24"/>
        </w:rPr>
        <w:t xml:space="preserve"> </w:t>
      </w:r>
      <w:r>
        <w:rPr>
          <w:rFonts w:ascii="宋体" w:hAnsi="宋体"/>
          <w:b/>
          <w:sz w:val="24"/>
        </w:rPr>
        <w:t xml:space="preserve">        </w:t>
      </w:r>
      <w:r>
        <w:rPr>
          <w:rFonts w:ascii="宋体" w:hAnsi="宋体" w:cs="宋体"/>
          <w:color w:val="000000"/>
          <w:sz w:val="24"/>
          <w:shd w:val="clear" w:color="auto" w:fill="FFFFFF"/>
        </w:rPr>
        <w:t xml:space="preserve"> </w:t>
      </w:r>
      <w:r>
        <w:rPr>
          <w:rFonts w:hint="eastAsia" w:ascii="宋体" w:hAnsi="宋体" w:cs="宋体"/>
          <w:color w:val="000000"/>
          <w:sz w:val="24"/>
          <w:shd w:val="clear" w:color="auto" w:fill="FFFFFF"/>
        </w:rPr>
        <w:t>公共财政概论编写组：《公共财政概论》，高等教育出版社，2</w:t>
      </w:r>
      <w:r>
        <w:rPr>
          <w:rFonts w:ascii="宋体" w:hAnsi="宋体" w:cs="宋体"/>
          <w:color w:val="000000"/>
          <w:sz w:val="24"/>
          <w:shd w:val="clear" w:color="auto" w:fill="FFFFFF"/>
        </w:rPr>
        <w:t>019</w:t>
      </w:r>
      <w:r>
        <w:rPr>
          <w:rFonts w:hint="eastAsia" w:ascii="宋体" w:hAnsi="宋体" w:cs="宋体"/>
          <w:color w:val="000000"/>
          <w:sz w:val="24"/>
          <w:shd w:val="clear" w:color="auto" w:fill="FFFFFF"/>
        </w:rPr>
        <w:t>年。</w:t>
      </w:r>
    </w:p>
    <w:p w14:paraId="7FBE004D">
      <w:pPr>
        <w:adjustRightInd w:val="0"/>
        <w:snapToGrid w:val="0"/>
        <w:rPr>
          <w:rFonts w:ascii="宋体" w:hAnsi="宋体"/>
          <w:b/>
          <w:sz w:val="24"/>
        </w:rPr>
      </w:pPr>
    </w:p>
    <w:p w14:paraId="765EB204">
      <w:pPr>
        <w:adjustRightInd w:val="0"/>
        <w:snapToGrid w:val="0"/>
        <w:rPr>
          <w:rFonts w:ascii="宋体" w:hAnsi="宋体"/>
          <w:b/>
          <w:sz w:val="24"/>
        </w:rPr>
      </w:pPr>
      <w:r>
        <w:rPr>
          <w:rFonts w:hint="eastAsia" w:ascii="宋体" w:hAnsi="宋体"/>
          <w:b/>
          <w:sz w:val="24"/>
        </w:rPr>
        <w:t>考试大纲</w:t>
      </w:r>
    </w:p>
    <w:p w14:paraId="21376550">
      <w:pPr>
        <w:adjustRightInd w:val="0"/>
        <w:snapToGrid w:val="0"/>
        <w:jc w:val="center"/>
        <w:rPr>
          <w:rFonts w:ascii="黑体" w:hAnsi="仿宋_GB2312" w:eastAsia="黑体" w:cs="仿宋_GB2312"/>
          <w:b/>
          <w:bCs/>
          <w:kern w:val="0"/>
          <w:sz w:val="36"/>
          <w:szCs w:val="36"/>
        </w:rPr>
      </w:pPr>
      <w:r>
        <w:rPr>
          <w:rFonts w:hint="eastAsia" w:ascii="黑体" w:hAnsi="仿宋_GB2312" w:eastAsia="黑体" w:cs="仿宋_GB2312"/>
          <w:b/>
          <w:bCs/>
          <w:kern w:val="0"/>
          <w:sz w:val="36"/>
          <w:szCs w:val="36"/>
        </w:rPr>
        <w:t>《经济学基础》</w:t>
      </w:r>
    </w:p>
    <w:p w14:paraId="66B8814B">
      <w:pPr>
        <w:widowControl/>
        <w:snapToGrid w:val="0"/>
        <w:spacing w:line="360" w:lineRule="auto"/>
        <w:ind w:firstLine="480"/>
        <w:rPr>
          <w:rFonts w:ascii="宋体" w:hAnsi="宋体" w:cs="宋体"/>
          <w:color w:val="000000"/>
          <w:sz w:val="24"/>
          <w:shd w:val="clear" w:color="auto" w:fill="FFFFFF"/>
        </w:rPr>
      </w:pPr>
      <w:r>
        <w:rPr>
          <w:rFonts w:hint="eastAsia" w:ascii="宋体" w:hAnsi="宋体" w:cs="宋体"/>
          <w:color w:val="000000"/>
          <w:sz w:val="24"/>
          <w:shd w:val="clear" w:color="auto" w:fill="FFFFFF"/>
        </w:rPr>
        <w:t>内容主要包括价格理论，消费者行为理论（效用理论），生产理论，福利经济学，市场失灵和微观经济政策，国民收入决定理论，宏观经济政策分析，失业与通货膨胀理论，经济增长理论等。测试学生对微观经济学和宏观经济学的基本原理、基本工具和方法的掌握程度，了解其是否具有初步应用这些基本原理和基本方法分析有关问题的能力。</w:t>
      </w:r>
    </w:p>
    <w:p w14:paraId="0B9E444E">
      <w:pPr>
        <w:widowControl/>
        <w:snapToGrid w:val="0"/>
        <w:spacing w:line="360" w:lineRule="auto"/>
        <w:rPr>
          <w:rFonts w:ascii="宋体" w:hAnsi="宋体" w:cs="宋体"/>
          <w:color w:val="000000"/>
          <w:sz w:val="24"/>
          <w:shd w:val="clear" w:color="auto" w:fill="FFFFFF"/>
        </w:rPr>
      </w:pPr>
      <w:r>
        <w:rPr>
          <w:rFonts w:hint="eastAsia" w:ascii="黑体" w:hAnsi="黑体" w:eastAsia="黑体" w:cs="黑体"/>
          <w:b/>
          <w:bCs/>
          <w:color w:val="000000"/>
          <w:sz w:val="24"/>
          <w:shd w:val="clear" w:color="auto" w:fill="FFFFFF"/>
        </w:rPr>
        <w:t>第一部分  微观经济理论</w:t>
      </w:r>
    </w:p>
    <w:p w14:paraId="53B093A8">
      <w:pPr>
        <w:widowControl/>
        <w:snapToGrid w:val="0"/>
        <w:spacing w:line="360" w:lineRule="auto"/>
        <w:rPr>
          <w:rFonts w:ascii="宋体" w:hAnsi="宋体" w:cs="宋体"/>
          <w:color w:val="000000"/>
          <w:sz w:val="24"/>
          <w:shd w:val="clear" w:color="auto" w:fill="FFFFFF"/>
        </w:rPr>
      </w:pPr>
      <w:r>
        <w:rPr>
          <w:rFonts w:hint="eastAsia" w:ascii="宋体" w:hAnsi="宋体" w:cs="宋体"/>
          <w:bCs/>
          <w:color w:val="000000"/>
          <w:sz w:val="24"/>
          <w:shd w:val="clear" w:color="auto" w:fill="FFFFFF"/>
        </w:rPr>
        <w:t>一、需求、供给与价格理论</w:t>
      </w:r>
    </w:p>
    <w:p w14:paraId="366D2123">
      <w:pPr>
        <w:widowControl/>
        <w:snapToGrid w:val="0"/>
        <w:spacing w:line="360" w:lineRule="auto"/>
        <w:ind w:firstLine="480"/>
        <w:rPr>
          <w:rFonts w:ascii="宋体" w:hAnsi="宋体" w:cs="宋体"/>
          <w:color w:val="000000"/>
          <w:sz w:val="24"/>
          <w:shd w:val="clear" w:color="auto" w:fill="FFFFFF"/>
        </w:rPr>
      </w:pPr>
      <w:r>
        <w:rPr>
          <w:rFonts w:hint="eastAsia" w:ascii="宋体" w:hAnsi="宋体" w:cs="宋体"/>
          <w:color w:val="000000"/>
          <w:sz w:val="24"/>
          <w:shd w:val="clear" w:color="auto" w:fill="FFFFFF"/>
        </w:rPr>
        <w:t>需求理论</w:t>
      </w:r>
    </w:p>
    <w:p w14:paraId="138BDF0C">
      <w:pPr>
        <w:widowControl/>
        <w:snapToGrid w:val="0"/>
        <w:spacing w:line="360" w:lineRule="auto"/>
        <w:ind w:firstLine="480"/>
        <w:rPr>
          <w:rFonts w:ascii="宋体" w:hAnsi="宋体" w:cs="宋体"/>
          <w:color w:val="000000"/>
          <w:sz w:val="24"/>
          <w:shd w:val="clear" w:color="auto" w:fill="FFFFFF"/>
        </w:rPr>
      </w:pPr>
      <w:r>
        <w:rPr>
          <w:rFonts w:hint="eastAsia" w:ascii="宋体" w:hAnsi="宋体" w:cs="宋体"/>
          <w:color w:val="000000"/>
          <w:sz w:val="24"/>
          <w:shd w:val="clear" w:color="auto" w:fill="FFFFFF"/>
        </w:rPr>
        <w:t xml:space="preserve">    需求、需求表、需求曲线与需求规律      影响需求的因素：需求函数</w:t>
      </w:r>
    </w:p>
    <w:p w14:paraId="25ABE56F">
      <w:pPr>
        <w:widowControl/>
        <w:snapToGrid w:val="0"/>
        <w:spacing w:line="360" w:lineRule="auto"/>
        <w:ind w:firstLine="480"/>
        <w:rPr>
          <w:rFonts w:ascii="宋体" w:hAnsi="宋体" w:cs="宋体"/>
          <w:color w:val="000000"/>
          <w:sz w:val="24"/>
          <w:shd w:val="clear" w:color="auto" w:fill="FFFFFF"/>
        </w:rPr>
      </w:pPr>
      <w:r>
        <w:rPr>
          <w:rFonts w:hint="eastAsia" w:ascii="宋体" w:hAnsi="宋体" w:cs="宋体"/>
          <w:color w:val="000000"/>
          <w:sz w:val="24"/>
          <w:shd w:val="clear" w:color="auto" w:fill="FFFFFF"/>
        </w:rPr>
        <w:t xml:space="preserve">    需求定理                            需求量的变动与需求的变动</w:t>
      </w:r>
    </w:p>
    <w:p w14:paraId="36F269D2">
      <w:pPr>
        <w:widowControl/>
        <w:snapToGrid w:val="0"/>
        <w:spacing w:line="360" w:lineRule="auto"/>
        <w:ind w:firstLine="480"/>
        <w:rPr>
          <w:rFonts w:ascii="宋体" w:hAnsi="宋体" w:cs="宋体"/>
          <w:color w:val="000000"/>
          <w:sz w:val="24"/>
          <w:shd w:val="clear" w:color="auto" w:fill="FFFFFF"/>
        </w:rPr>
      </w:pPr>
      <w:r>
        <w:rPr>
          <w:rFonts w:hint="eastAsia" w:ascii="宋体" w:hAnsi="宋体" w:cs="宋体"/>
          <w:color w:val="000000"/>
          <w:sz w:val="24"/>
          <w:shd w:val="clear" w:color="auto" w:fill="FFFFFF"/>
        </w:rPr>
        <w:t>供给理论</w:t>
      </w:r>
    </w:p>
    <w:p w14:paraId="160C36F1">
      <w:pPr>
        <w:widowControl/>
        <w:snapToGrid w:val="0"/>
        <w:spacing w:line="360" w:lineRule="auto"/>
        <w:ind w:firstLine="480"/>
        <w:rPr>
          <w:rFonts w:ascii="宋体" w:hAnsi="宋体" w:cs="宋体"/>
          <w:color w:val="000000"/>
          <w:sz w:val="24"/>
          <w:shd w:val="clear" w:color="auto" w:fill="FFFFFF"/>
        </w:rPr>
      </w:pPr>
      <w:r>
        <w:rPr>
          <w:rFonts w:hint="eastAsia" w:ascii="宋体" w:hAnsi="宋体" w:cs="宋体"/>
          <w:color w:val="000000"/>
          <w:sz w:val="24"/>
          <w:shd w:val="clear" w:color="auto" w:fill="FFFFFF"/>
        </w:rPr>
        <w:t xml:space="preserve">     供给、供给表、供给曲线               影响供给的因素：供给函数</w:t>
      </w:r>
    </w:p>
    <w:p w14:paraId="7E768B4B">
      <w:pPr>
        <w:widowControl/>
        <w:snapToGrid w:val="0"/>
        <w:spacing w:line="360" w:lineRule="auto"/>
        <w:ind w:firstLine="480"/>
        <w:rPr>
          <w:rFonts w:ascii="宋体" w:hAnsi="宋体" w:cs="宋体"/>
          <w:color w:val="000000"/>
          <w:sz w:val="24"/>
          <w:shd w:val="clear" w:color="auto" w:fill="FFFFFF"/>
        </w:rPr>
      </w:pPr>
      <w:r>
        <w:rPr>
          <w:rFonts w:hint="eastAsia" w:ascii="宋体" w:hAnsi="宋体" w:cs="宋体"/>
          <w:color w:val="000000"/>
          <w:sz w:val="24"/>
          <w:shd w:val="clear" w:color="auto" w:fill="FFFFFF"/>
        </w:rPr>
        <w:t xml:space="preserve">    供给定理                            供给量的变动与供给的变动</w:t>
      </w:r>
    </w:p>
    <w:p w14:paraId="7A441BF9">
      <w:pPr>
        <w:widowControl/>
        <w:snapToGrid w:val="0"/>
        <w:spacing w:line="360" w:lineRule="auto"/>
        <w:ind w:firstLine="480"/>
        <w:rPr>
          <w:rFonts w:ascii="宋体" w:hAnsi="宋体" w:cs="宋体"/>
          <w:color w:val="000000"/>
          <w:sz w:val="24"/>
          <w:shd w:val="clear" w:color="auto" w:fill="FFFFFF"/>
        </w:rPr>
      </w:pPr>
      <w:r>
        <w:rPr>
          <w:rFonts w:hint="eastAsia" w:ascii="宋体" w:hAnsi="宋体" w:cs="宋体"/>
          <w:color w:val="000000"/>
          <w:sz w:val="24"/>
          <w:shd w:val="clear" w:color="auto" w:fill="FFFFFF"/>
        </w:rPr>
        <w:t>价格的决定</w:t>
      </w:r>
    </w:p>
    <w:p w14:paraId="7A74B685">
      <w:pPr>
        <w:widowControl/>
        <w:snapToGrid w:val="0"/>
        <w:spacing w:line="360" w:lineRule="auto"/>
        <w:ind w:firstLine="480"/>
        <w:rPr>
          <w:rFonts w:ascii="宋体" w:hAnsi="宋体" w:cs="宋体"/>
          <w:color w:val="000000"/>
          <w:sz w:val="24"/>
          <w:shd w:val="clear" w:color="auto" w:fill="FFFFFF"/>
        </w:rPr>
      </w:pPr>
      <w:r>
        <w:rPr>
          <w:rFonts w:hint="eastAsia" w:ascii="宋体" w:hAnsi="宋体" w:cs="宋体"/>
          <w:color w:val="000000"/>
          <w:sz w:val="24"/>
          <w:shd w:val="clear" w:color="auto" w:fill="FFFFFF"/>
        </w:rPr>
        <w:t>均衡价格含义及形成                    需求与供给变动对均衡的影响</w:t>
      </w:r>
    </w:p>
    <w:p w14:paraId="7944F743">
      <w:pPr>
        <w:widowControl/>
        <w:snapToGrid w:val="0"/>
        <w:spacing w:line="360" w:lineRule="auto"/>
        <w:ind w:firstLine="480"/>
        <w:rPr>
          <w:rFonts w:ascii="宋体" w:hAnsi="宋体" w:cs="宋体"/>
          <w:color w:val="000000"/>
          <w:sz w:val="24"/>
          <w:shd w:val="clear" w:color="auto" w:fill="FFFFFF"/>
        </w:rPr>
      </w:pPr>
      <w:r>
        <w:rPr>
          <w:rFonts w:hint="eastAsia" w:ascii="宋体" w:hAnsi="宋体" w:cs="宋体"/>
          <w:color w:val="000000"/>
          <w:sz w:val="24"/>
          <w:shd w:val="clear" w:color="auto" w:fill="FFFFFF"/>
        </w:rPr>
        <w:t>需求价格弹性</w:t>
      </w:r>
    </w:p>
    <w:p w14:paraId="79495A30">
      <w:pPr>
        <w:widowControl/>
        <w:snapToGrid w:val="0"/>
        <w:spacing w:line="360" w:lineRule="auto"/>
        <w:ind w:firstLine="480"/>
        <w:rPr>
          <w:rFonts w:ascii="宋体" w:hAnsi="宋体" w:cs="宋体"/>
          <w:color w:val="000000"/>
          <w:sz w:val="24"/>
          <w:shd w:val="clear" w:color="auto" w:fill="FFFFFF"/>
        </w:rPr>
      </w:pPr>
      <w:r>
        <w:rPr>
          <w:rFonts w:hint="eastAsia" w:ascii="宋体" w:hAnsi="宋体" w:cs="宋体"/>
          <w:color w:val="000000"/>
          <w:sz w:val="24"/>
          <w:shd w:val="clear" w:color="auto" w:fill="FFFFFF"/>
        </w:rPr>
        <w:t>需求价格弹性的含义与分类              影响需求弹性的因素</w:t>
      </w:r>
    </w:p>
    <w:p w14:paraId="70336299">
      <w:pPr>
        <w:widowControl/>
        <w:snapToGrid w:val="0"/>
        <w:spacing w:line="360" w:lineRule="auto"/>
        <w:ind w:firstLine="480"/>
        <w:rPr>
          <w:rFonts w:ascii="宋体" w:hAnsi="宋体" w:cs="宋体"/>
          <w:color w:val="000000"/>
          <w:sz w:val="24"/>
          <w:shd w:val="clear" w:color="auto" w:fill="FFFFFF"/>
        </w:rPr>
      </w:pPr>
      <w:r>
        <w:rPr>
          <w:rFonts w:hint="eastAsia" w:ascii="宋体" w:hAnsi="宋体" w:cs="宋体"/>
          <w:color w:val="000000"/>
          <w:sz w:val="24"/>
          <w:shd w:val="clear" w:color="auto" w:fill="FFFFFF"/>
        </w:rPr>
        <w:t>其他弹性</w:t>
      </w:r>
    </w:p>
    <w:p w14:paraId="0DEF7BA3">
      <w:pPr>
        <w:widowControl/>
        <w:snapToGrid w:val="0"/>
        <w:spacing w:line="360" w:lineRule="auto"/>
        <w:ind w:firstLine="480"/>
        <w:rPr>
          <w:rFonts w:ascii="宋体" w:hAnsi="宋体" w:cs="宋体"/>
          <w:color w:val="000000"/>
          <w:sz w:val="24"/>
          <w:shd w:val="clear" w:color="auto" w:fill="FFFFFF"/>
        </w:rPr>
      </w:pPr>
      <w:r>
        <w:rPr>
          <w:rFonts w:hint="eastAsia" w:ascii="宋体" w:hAnsi="宋体" w:cs="宋体"/>
          <w:color w:val="000000"/>
          <w:sz w:val="24"/>
          <w:shd w:val="clear" w:color="auto" w:fill="FFFFFF"/>
        </w:rPr>
        <w:t xml:space="preserve">    需求收入弹性               需求交叉弹性       供给弹性</w:t>
      </w:r>
    </w:p>
    <w:p w14:paraId="558576CF">
      <w:pPr>
        <w:widowControl/>
        <w:snapToGrid w:val="0"/>
        <w:spacing w:line="360" w:lineRule="auto"/>
        <w:ind w:firstLine="480"/>
        <w:rPr>
          <w:rFonts w:ascii="宋体" w:hAnsi="宋体" w:cs="宋体"/>
          <w:color w:val="000000"/>
          <w:sz w:val="24"/>
          <w:shd w:val="clear" w:color="auto" w:fill="FFFFFF"/>
        </w:rPr>
      </w:pPr>
      <w:r>
        <w:rPr>
          <w:rFonts w:hint="eastAsia" w:ascii="宋体" w:hAnsi="宋体" w:cs="宋体"/>
          <w:color w:val="000000"/>
          <w:sz w:val="24"/>
          <w:shd w:val="clear" w:color="auto" w:fill="FFFFFF"/>
        </w:rPr>
        <w:t>弹性理论的运用：需求弹性与总收益</w:t>
      </w:r>
    </w:p>
    <w:p w14:paraId="2E6FA250">
      <w:pPr>
        <w:widowControl/>
        <w:snapToGrid w:val="0"/>
        <w:spacing w:line="360" w:lineRule="auto"/>
        <w:ind w:firstLine="480"/>
        <w:rPr>
          <w:rFonts w:ascii="宋体" w:hAnsi="宋体" w:cs="宋体"/>
          <w:color w:val="000000"/>
          <w:sz w:val="24"/>
          <w:shd w:val="clear" w:color="auto" w:fill="FFFFFF"/>
        </w:rPr>
      </w:pPr>
      <w:r>
        <w:rPr>
          <w:rFonts w:hint="eastAsia" w:ascii="宋体" w:hAnsi="宋体" w:cs="宋体"/>
          <w:color w:val="000000"/>
          <w:sz w:val="24"/>
          <w:shd w:val="clear" w:color="auto" w:fill="FFFFFF"/>
        </w:rPr>
        <w:t>二、消费者行为理论（效用理论）</w:t>
      </w:r>
    </w:p>
    <w:p w14:paraId="19D3DE40">
      <w:pPr>
        <w:widowControl/>
        <w:snapToGrid w:val="0"/>
        <w:spacing w:line="360" w:lineRule="auto"/>
        <w:ind w:firstLine="480"/>
        <w:rPr>
          <w:rFonts w:ascii="宋体" w:hAnsi="宋体" w:cs="宋体"/>
          <w:color w:val="000000"/>
          <w:sz w:val="24"/>
          <w:shd w:val="clear" w:color="auto" w:fill="FFFFFF"/>
        </w:rPr>
      </w:pPr>
      <w:r>
        <w:rPr>
          <w:rFonts w:hint="eastAsia" w:ascii="宋体" w:hAnsi="宋体" w:cs="宋体"/>
          <w:color w:val="000000"/>
          <w:sz w:val="24"/>
          <w:shd w:val="clear" w:color="auto" w:fill="FFFFFF"/>
        </w:rPr>
        <w:t>效用</w:t>
      </w:r>
    </w:p>
    <w:p w14:paraId="7C1C4027">
      <w:pPr>
        <w:widowControl/>
        <w:snapToGrid w:val="0"/>
        <w:spacing w:line="360" w:lineRule="auto"/>
        <w:ind w:firstLine="480"/>
        <w:rPr>
          <w:rFonts w:ascii="宋体" w:hAnsi="宋体" w:cs="宋体"/>
          <w:color w:val="000000"/>
          <w:sz w:val="24"/>
          <w:shd w:val="clear" w:color="auto" w:fill="FFFFFF"/>
        </w:rPr>
      </w:pPr>
      <w:r>
        <w:rPr>
          <w:rFonts w:hint="eastAsia" w:ascii="宋体" w:hAnsi="宋体" w:cs="宋体"/>
          <w:color w:val="000000"/>
          <w:sz w:val="24"/>
          <w:shd w:val="clear" w:color="auto" w:fill="FFFFFF"/>
        </w:rPr>
        <w:t xml:space="preserve">  基数效用论与序数效用论    总效用与边际效用     边际效用递减规律</w:t>
      </w:r>
    </w:p>
    <w:p w14:paraId="3B2481F2">
      <w:pPr>
        <w:widowControl/>
        <w:snapToGrid w:val="0"/>
        <w:spacing w:line="360" w:lineRule="auto"/>
        <w:ind w:firstLine="480"/>
        <w:rPr>
          <w:rFonts w:ascii="宋体" w:hAnsi="宋体" w:cs="宋体"/>
          <w:color w:val="000000"/>
          <w:sz w:val="24"/>
          <w:shd w:val="clear" w:color="auto" w:fill="FFFFFF"/>
        </w:rPr>
      </w:pPr>
      <w:r>
        <w:rPr>
          <w:rFonts w:hint="eastAsia" w:ascii="宋体" w:hAnsi="宋体" w:cs="宋体"/>
          <w:color w:val="000000"/>
          <w:sz w:val="24"/>
          <w:shd w:val="clear" w:color="auto" w:fill="FFFFFF"/>
        </w:rPr>
        <w:t>序数效用论</w:t>
      </w:r>
    </w:p>
    <w:p w14:paraId="08F6F474">
      <w:pPr>
        <w:widowControl/>
        <w:snapToGrid w:val="0"/>
        <w:spacing w:line="360" w:lineRule="auto"/>
        <w:ind w:firstLine="480"/>
        <w:rPr>
          <w:rFonts w:ascii="宋体" w:hAnsi="宋体" w:cs="宋体"/>
          <w:color w:val="000000"/>
          <w:sz w:val="24"/>
          <w:shd w:val="clear" w:color="auto" w:fill="FFFFFF"/>
        </w:rPr>
      </w:pPr>
      <w:r>
        <w:rPr>
          <w:rFonts w:hint="eastAsia" w:ascii="宋体" w:hAnsi="宋体" w:cs="宋体"/>
          <w:color w:val="000000"/>
          <w:sz w:val="24"/>
          <w:shd w:val="clear" w:color="auto" w:fill="FFFFFF"/>
        </w:rPr>
        <w:t xml:space="preserve">    无差异曲线及特征           消费可能线（预算线）   消费者均衡</w:t>
      </w:r>
    </w:p>
    <w:p w14:paraId="201984CB">
      <w:pPr>
        <w:widowControl/>
        <w:snapToGrid w:val="0"/>
        <w:spacing w:line="360" w:lineRule="auto"/>
        <w:ind w:firstLine="480"/>
        <w:rPr>
          <w:rFonts w:ascii="宋体" w:hAnsi="宋体" w:cs="宋体"/>
          <w:color w:val="000000"/>
          <w:sz w:val="24"/>
          <w:shd w:val="clear" w:color="auto" w:fill="FFFFFF"/>
        </w:rPr>
      </w:pPr>
      <w:r>
        <w:rPr>
          <w:rFonts w:hint="eastAsia" w:ascii="宋体" w:hAnsi="宋体" w:cs="宋体"/>
          <w:color w:val="000000"/>
          <w:sz w:val="24"/>
          <w:shd w:val="clear" w:color="auto" w:fill="FFFFFF"/>
        </w:rPr>
        <w:t>消费者行为理论的运用</w:t>
      </w:r>
    </w:p>
    <w:p w14:paraId="6FA4550A">
      <w:pPr>
        <w:widowControl/>
        <w:snapToGrid w:val="0"/>
        <w:spacing w:line="360" w:lineRule="auto"/>
        <w:ind w:firstLine="480"/>
        <w:rPr>
          <w:rFonts w:ascii="宋体" w:hAnsi="宋体" w:cs="宋体"/>
          <w:color w:val="000000"/>
          <w:sz w:val="24"/>
          <w:shd w:val="clear" w:color="auto" w:fill="FFFFFF"/>
        </w:rPr>
      </w:pPr>
      <w:r>
        <w:rPr>
          <w:rFonts w:hint="eastAsia" w:ascii="宋体" w:hAnsi="宋体" w:cs="宋体"/>
          <w:color w:val="000000"/>
          <w:sz w:val="24"/>
          <w:shd w:val="clear" w:color="auto" w:fill="FFFFFF"/>
        </w:rPr>
        <w:t xml:space="preserve">    消费者剩余                 消费者行为与需求定理</w:t>
      </w:r>
    </w:p>
    <w:p w14:paraId="753B2E8F">
      <w:pPr>
        <w:widowControl/>
        <w:snapToGrid w:val="0"/>
        <w:spacing w:line="360" w:lineRule="auto"/>
        <w:ind w:firstLine="480"/>
        <w:rPr>
          <w:rFonts w:ascii="宋体" w:hAnsi="宋体" w:cs="宋体"/>
          <w:color w:val="000000"/>
          <w:sz w:val="24"/>
          <w:shd w:val="clear" w:color="auto" w:fill="FFFFFF"/>
        </w:rPr>
      </w:pPr>
      <w:r>
        <w:rPr>
          <w:rFonts w:hint="eastAsia" w:ascii="宋体" w:hAnsi="宋体" w:cs="宋体"/>
          <w:color w:val="000000"/>
          <w:sz w:val="24"/>
          <w:shd w:val="clear" w:color="auto" w:fill="FFFFFF"/>
        </w:rPr>
        <w:t>消费者的其他决策</w:t>
      </w:r>
    </w:p>
    <w:p w14:paraId="33C6A930">
      <w:pPr>
        <w:widowControl/>
        <w:snapToGrid w:val="0"/>
        <w:spacing w:line="360" w:lineRule="auto"/>
        <w:ind w:firstLine="480"/>
        <w:rPr>
          <w:rFonts w:ascii="宋体" w:hAnsi="宋体" w:cs="宋体"/>
          <w:color w:val="000000"/>
          <w:sz w:val="24"/>
          <w:shd w:val="clear" w:color="auto" w:fill="FFFFFF"/>
        </w:rPr>
      </w:pPr>
      <w:r>
        <w:rPr>
          <w:rFonts w:hint="eastAsia" w:ascii="宋体" w:hAnsi="宋体" w:cs="宋体"/>
          <w:color w:val="000000"/>
          <w:sz w:val="24"/>
          <w:shd w:val="clear" w:color="auto" w:fill="FFFFFF"/>
        </w:rPr>
        <w:t>劳动供给决策                消费与储蓄决策          投资决策</w:t>
      </w:r>
    </w:p>
    <w:p w14:paraId="3C2E9B7D">
      <w:pPr>
        <w:widowControl/>
        <w:snapToGrid w:val="0"/>
        <w:spacing w:line="360" w:lineRule="auto"/>
        <w:ind w:firstLine="480"/>
        <w:rPr>
          <w:rFonts w:ascii="宋体" w:hAnsi="宋体" w:cs="宋体"/>
          <w:color w:val="000000"/>
          <w:sz w:val="24"/>
          <w:shd w:val="clear" w:color="auto" w:fill="FFFFFF"/>
        </w:rPr>
      </w:pPr>
      <w:r>
        <w:rPr>
          <w:rFonts w:hint="eastAsia" w:ascii="宋体" w:hAnsi="宋体" w:cs="宋体"/>
          <w:color w:val="000000"/>
          <w:sz w:val="24"/>
          <w:shd w:val="clear" w:color="auto" w:fill="FFFFFF"/>
        </w:rPr>
        <w:t>三、生产理论</w:t>
      </w:r>
    </w:p>
    <w:p w14:paraId="009A33F4">
      <w:pPr>
        <w:widowControl/>
        <w:snapToGrid w:val="0"/>
        <w:spacing w:line="360" w:lineRule="auto"/>
        <w:ind w:firstLine="480"/>
        <w:rPr>
          <w:rFonts w:ascii="宋体" w:hAnsi="宋体" w:cs="宋体"/>
          <w:color w:val="000000"/>
          <w:sz w:val="24"/>
          <w:shd w:val="clear" w:color="auto" w:fill="FFFFFF"/>
        </w:rPr>
      </w:pPr>
      <w:r>
        <w:rPr>
          <w:rFonts w:hint="eastAsia" w:ascii="宋体" w:hAnsi="宋体" w:cs="宋体"/>
          <w:color w:val="000000"/>
          <w:sz w:val="24"/>
          <w:shd w:val="clear" w:color="auto" w:fill="FFFFFF"/>
        </w:rPr>
        <w:t>生产要素与生产函数</w:t>
      </w:r>
    </w:p>
    <w:p w14:paraId="1F094E8B">
      <w:pPr>
        <w:widowControl/>
        <w:snapToGrid w:val="0"/>
        <w:spacing w:line="360" w:lineRule="auto"/>
        <w:ind w:firstLine="480"/>
        <w:rPr>
          <w:rFonts w:ascii="宋体" w:hAnsi="宋体" w:cs="宋体"/>
          <w:color w:val="000000"/>
          <w:sz w:val="24"/>
          <w:shd w:val="clear" w:color="auto" w:fill="FFFFFF"/>
        </w:rPr>
      </w:pPr>
      <w:r>
        <w:rPr>
          <w:rFonts w:hint="eastAsia" w:ascii="宋体" w:hAnsi="宋体" w:cs="宋体"/>
          <w:color w:val="000000"/>
          <w:sz w:val="24"/>
          <w:shd w:val="clear" w:color="auto" w:fill="FFFFFF"/>
        </w:rPr>
        <w:t>边际收益递减规律</w:t>
      </w:r>
    </w:p>
    <w:p w14:paraId="6713EACE">
      <w:pPr>
        <w:widowControl/>
        <w:snapToGrid w:val="0"/>
        <w:spacing w:line="360" w:lineRule="auto"/>
        <w:ind w:firstLine="480"/>
        <w:rPr>
          <w:rFonts w:ascii="宋体" w:hAnsi="宋体" w:cs="宋体"/>
          <w:color w:val="000000"/>
          <w:sz w:val="24"/>
          <w:shd w:val="clear" w:color="auto" w:fill="FFFFFF"/>
        </w:rPr>
      </w:pPr>
      <w:r>
        <w:rPr>
          <w:rFonts w:hint="eastAsia" w:ascii="宋体" w:hAnsi="宋体" w:cs="宋体"/>
          <w:color w:val="000000"/>
          <w:sz w:val="24"/>
          <w:shd w:val="clear" w:color="auto" w:fill="FFFFFF"/>
        </w:rPr>
        <w:t>总产量、平均产量、边际产量的关系</w:t>
      </w:r>
    </w:p>
    <w:p w14:paraId="3F50F532">
      <w:pPr>
        <w:widowControl/>
        <w:snapToGrid w:val="0"/>
        <w:spacing w:line="360" w:lineRule="auto"/>
        <w:ind w:firstLine="480"/>
        <w:rPr>
          <w:rFonts w:ascii="宋体" w:hAnsi="宋体" w:cs="宋体"/>
          <w:color w:val="000000"/>
          <w:sz w:val="24"/>
          <w:shd w:val="clear" w:color="auto" w:fill="FFFFFF"/>
        </w:rPr>
      </w:pPr>
      <w:r>
        <w:rPr>
          <w:rFonts w:hint="eastAsia" w:ascii="宋体" w:hAnsi="宋体" w:cs="宋体"/>
          <w:color w:val="000000"/>
          <w:sz w:val="24"/>
          <w:shd w:val="clear" w:color="auto" w:fill="FFFFFF"/>
        </w:rPr>
        <w:t>等产量线与等成本线</w:t>
      </w:r>
    </w:p>
    <w:p w14:paraId="1A496B7C">
      <w:pPr>
        <w:widowControl/>
        <w:snapToGrid w:val="0"/>
        <w:spacing w:line="360" w:lineRule="auto"/>
        <w:ind w:firstLine="480"/>
        <w:rPr>
          <w:rFonts w:ascii="宋体" w:hAnsi="宋体" w:cs="宋体"/>
          <w:color w:val="000000"/>
          <w:sz w:val="24"/>
          <w:shd w:val="clear" w:color="auto" w:fill="FFFFFF"/>
        </w:rPr>
      </w:pPr>
      <w:r>
        <w:rPr>
          <w:rFonts w:hint="eastAsia" w:ascii="宋体" w:hAnsi="宋体" w:cs="宋体"/>
          <w:color w:val="000000"/>
          <w:sz w:val="24"/>
          <w:shd w:val="clear" w:color="auto" w:fill="FFFFFF"/>
        </w:rPr>
        <w:t>最优生产要素的最适组合</w:t>
      </w:r>
    </w:p>
    <w:p w14:paraId="3049DCFB">
      <w:pPr>
        <w:widowControl/>
        <w:snapToGrid w:val="0"/>
        <w:spacing w:line="360" w:lineRule="auto"/>
        <w:ind w:firstLine="480"/>
        <w:rPr>
          <w:rFonts w:ascii="宋体" w:hAnsi="宋体" w:cs="宋体"/>
          <w:color w:val="000000"/>
          <w:sz w:val="24"/>
          <w:shd w:val="clear" w:color="auto" w:fill="FFFFFF"/>
        </w:rPr>
      </w:pPr>
      <w:r>
        <w:rPr>
          <w:rFonts w:hint="eastAsia" w:ascii="宋体" w:hAnsi="宋体" w:cs="宋体"/>
          <w:color w:val="000000"/>
          <w:sz w:val="24"/>
          <w:shd w:val="clear" w:color="auto" w:fill="FFFFFF"/>
        </w:rPr>
        <w:t>规模报酬</w:t>
      </w:r>
    </w:p>
    <w:p w14:paraId="036A4B95">
      <w:pPr>
        <w:widowControl/>
        <w:snapToGrid w:val="0"/>
        <w:spacing w:line="360" w:lineRule="auto"/>
        <w:ind w:firstLine="480"/>
        <w:rPr>
          <w:rFonts w:ascii="宋体" w:hAnsi="宋体" w:cs="宋体"/>
          <w:color w:val="000000"/>
          <w:sz w:val="24"/>
          <w:shd w:val="clear" w:color="auto" w:fill="FFFFFF"/>
        </w:rPr>
      </w:pPr>
      <w:r>
        <w:rPr>
          <w:rFonts w:hint="eastAsia" w:ascii="宋体" w:hAnsi="宋体" w:cs="宋体"/>
          <w:color w:val="000000"/>
          <w:sz w:val="24"/>
          <w:shd w:val="clear" w:color="auto" w:fill="FFFFFF"/>
        </w:rPr>
        <w:t>四、成本与收益理论</w:t>
      </w:r>
    </w:p>
    <w:p w14:paraId="62CA23C8">
      <w:pPr>
        <w:widowControl/>
        <w:snapToGrid w:val="0"/>
        <w:spacing w:line="360" w:lineRule="auto"/>
        <w:ind w:firstLine="480"/>
        <w:rPr>
          <w:rFonts w:ascii="宋体" w:hAnsi="宋体" w:cs="宋体"/>
          <w:color w:val="000000"/>
          <w:sz w:val="24"/>
          <w:shd w:val="clear" w:color="auto" w:fill="FFFFFF"/>
        </w:rPr>
      </w:pPr>
      <w:r>
        <w:rPr>
          <w:rFonts w:hint="eastAsia" w:ascii="宋体" w:hAnsi="宋体" w:cs="宋体"/>
          <w:color w:val="000000"/>
          <w:sz w:val="24"/>
          <w:shd w:val="clear" w:color="auto" w:fill="FFFFFF"/>
        </w:rPr>
        <w:t>成本</w:t>
      </w:r>
    </w:p>
    <w:p w14:paraId="13951339">
      <w:pPr>
        <w:widowControl/>
        <w:snapToGrid w:val="0"/>
        <w:spacing w:line="360" w:lineRule="auto"/>
        <w:ind w:firstLine="480"/>
        <w:rPr>
          <w:rFonts w:ascii="宋体" w:hAnsi="宋体" w:cs="宋体"/>
          <w:color w:val="000000"/>
          <w:sz w:val="24"/>
          <w:shd w:val="clear" w:color="auto" w:fill="FFFFFF"/>
        </w:rPr>
      </w:pPr>
      <w:r>
        <w:rPr>
          <w:rFonts w:hint="eastAsia" w:ascii="宋体" w:hAnsi="宋体" w:cs="宋体"/>
          <w:color w:val="000000"/>
          <w:sz w:val="24"/>
          <w:shd w:val="clear" w:color="auto" w:fill="FFFFFF"/>
        </w:rPr>
        <w:t>会计成本与机会成本             机会成本在企业决策中的作用</w:t>
      </w:r>
    </w:p>
    <w:p w14:paraId="691DC67F">
      <w:pPr>
        <w:widowControl/>
        <w:snapToGrid w:val="0"/>
        <w:spacing w:line="360" w:lineRule="auto"/>
        <w:ind w:firstLine="480"/>
        <w:rPr>
          <w:rFonts w:ascii="宋体" w:hAnsi="宋体" w:cs="宋体"/>
          <w:color w:val="000000"/>
          <w:sz w:val="24"/>
          <w:shd w:val="clear" w:color="auto" w:fill="FFFFFF"/>
        </w:rPr>
      </w:pPr>
      <w:r>
        <w:rPr>
          <w:rFonts w:hint="eastAsia" w:ascii="宋体" w:hAnsi="宋体" w:cs="宋体"/>
          <w:color w:val="000000"/>
          <w:sz w:val="24"/>
          <w:shd w:val="clear" w:color="auto" w:fill="FFFFFF"/>
        </w:rPr>
        <w:t>短期成本</w:t>
      </w:r>
    </w:p>
    <w:p w14:paraId="0EBD8424">
      <w:pPr>
        <w:widowControl/>
        <w:snapToGrid w:val="0"/>
        <w:spacing w:line="360" w:lineRule="auto"/>
        <w:ind w:firstLine="480"/>
        <w:rPr>
          <w:rFonts w:ascii="宋体" w:hAnsi="宋体" w:cs="宋体"/>
          <w:color w:val="000000"/>
          <w:sz w:val="24"/>
          <w:shd w:val="clear" w:color="auto" w:fill="FFFFFF"/>
        </w:rPr>
      </w:pPr>
      <w:r>
        <w:rPr>
          <w:rFonts w:hint="eastAsia" w:ascii="宋体" w:hAnsi="宋体" w:cs="宋体"/>
          <w:color w:val="000000"/>
          <w:sz w:val="24"/>
          <w:shd w:val="clear" w:color="auto" w:fill="FFFFFF"/>
        </w:rPr>
        <w:t xml:space="preserve">   短期成本的分类                 各类短期成本的变动规律及其关系</w:t>
      </w:r>
    </w:p>
    <w:p w14:paraId="2FAD734F">
      <w:pPr>
        <w:widowControl/>
        <w:snapToGrid w:val="0"/>
        <w:spacing w:line="360" w:lineRule="auto"/>
        <w:ind w:firstLine="480"/>
        <w:rPr>
          <w:rFonts w:ascii="宋体" w:hAnsi="宋体" w:cs="宋体"/>
          <w:color w:val="000000"/>
          <w:sz w:val="24"/>
          <w:shd w:val="clear" w:color="auto" w:fill="FFFFFF"/>
        </w:rPr>
      </w:pPr>
      <w:r>
        <w:rPr>
          <w:rFonts w:hint="eastAsia" w:ascii="宋体" w:hAnsi="宋体" w:cs="宋体"/>
          <w:color w:val="000000"/>
          <w:sz w:val="24"/>
          <w:shd w:val="clear" w:color="auto" w:fill="FFFFFF"/>
        </w:rPr>
        <w:t>长期成本</w:t>
      </w:r>
    </w:p>
    <w:p w14:paraId="696C650A">
      <w:pPr>
        <w:widowControl/>
        <w:snapToGrid w:val="0"/>
        <w:spacing w:line="360" w:lineRule="auto"/>
        <w:ind w:firstLine="480"/>
        <w:rPr>
          <w:rFonts w:ascii="宋体" w:hAnsi="宋体" w:cs="宋体"/>
          <w:color w:val="000000"/>
          <w:sz w:val="24"/>
          <w:shd w:val="clear" w:color="auto" w:fill="FFFFFF"/>
        </w:rPr>
      </w:pPr>
      <w:r>
        <w:rPr>
          <w:rFonts w:hint="eastAsia" w:ascii="宋体" w:hAnsi="宋体" w:cs="宋体"/>
          <w:color w:val="000000"/>
          <w:sz w:val="24"/>
          <w:shd w:val="clear" w:color="auto" w:fill="FFFFFF"/>
        </w:rPr>
        <w:t>长期总成本                     长期平均成本          长期边际成本</w:t>
      </w:r>
    </w:p>
    <w:p w14:paraId="6281FC92">
      <w:pPr>
        <w:widowControl/>
        <w:snapToGrid w:val="0"/>
        <w:spacing w:line="360" w:lineRule="auto"/>
        <w:ind w:firstLine="480"/>
        <w:rPr>
          <w:rFonts w:ascii="宋体" w:hAnsi="宋体" w:cs="宋体"/>
          <w:color w:val="000000"/>
          <w:sz w:val="24"/>
          <w:shd w:val="clear" w:color="auto" w:fill="FFFFFF"/>
        </w:rPr>
      </w:pPr>
      <w:r>
        <w:rPr>
          <w:rFonts w:hint="eastAsia" w:ascii="宋体" w:hAnsi="宋体" w:cs="宋体"/>
          <w:color w:val="000000"/>
          <w:sz w:val="24"/>
          <w:shd w:val="clear" w:color="auto" w:fill="FFFFFF"/>
        </w:rPr>
        <w:t>收益与利润最大化</w:t>
      </w:r>
    </w:p>
    <w:p w14:paraId="1BF18E00">
      <w:pPr>
        <w:widowControl/>
        <w:snapToGrid w:val="0"/>
        <w:spacing w:line="360" w:lineRule="auto"/>
        <w:ind w:firstLine="480"/>
        <w:rPr>
          <w:rFonts w:ascii="宋体" w:hAnsi="宋体" w:cs="宋体"/>
          <w:color w:val="000000"/>
          <w:sz w:val="24"/>
          <w:shd w:val="clear" w:color="auto" w:fill="FFFFFF"/>
        </w:rPr>
      </w:pPr>
      <w:r>
        <w:rPr>
          <w:rFonts w:hint="eastAsia" w:ascii="宋体" w:hAnsi="宋体" w:cs="宋体"/>
          <w:color w:val="000000"/>
          <w:sz w:val="24"/>
          <w:shd w:val="clear" w:color="auto" w:fill="FFFFFF"/>
        </w:rPr>
        <w:t>总收益、平均收益与边际收益     利润最大化原则</w:t>
      </w:r>
    </w:p>
    <w:p w14:paraId="32479A65">
      <w:pPr>
        <w:widowControl/>
        <w:snapToGrid w:val="0"/>
        <w:spacing w:line="360" w:lineRule="auto"/>
        <w:ind w:firstLine="480"/>
        <w:rPr>
          <w:rFonts w:ascii="宋体" w:hAnsi="宋体" w:cs="宋体"/>
          <w:color w:val="000000"/>
          <w:sz w:val="24"/>
          <w:shd w:val="clear" w:color="auto" w:fill="FFFFFF"/>
        </w:rPr>
      </w:pPr>
      <w:r>
        <w:rPr>
          <w:rFonts w:hint="eastAsia" w:ascii="宋体" w:hAnsi="宋体" w:cs="宋体"/>
          <w:color w:val="000000"/>
          <w:sz w:val="24"/>
          <w:shd w:val="clear" w:color="auto" w:fill="FFFFFF"/>
        </w:rPr>
        <w:t>五、竞争市场理论</w:t>
      </w:r>
    </w:p>
    <w:p w14:paraId="56751C35">
      <w:pPr>
        <w:widowControl/>
        <w:snapToGrid w:val="0"/>
        <w:spacing w:line="360" w:lineRule="auto"/>
        <w:ind w:firstLine="480"/>
        <w:rPr>
          <w:rFonts w:ascii="宋体" w:hAnsi="宋体" w:cs="宋体"/>
          <w:color w:val="000000"/>
          <w:sz w:val="24"/>
          <w:shd w:val="clear" w:color="auto" w:fill="FFFFFF"/>
        </w:rPr>
      </w:pPr>
      <w:r>
        <w:rPr>
          <w:rFonts w:hint="eastAsia" w:ascii="宋体" w:hAnsi="宋体" w:cs="宋体"/>
          <w:color w:val="000000"/>
          <w:sz w:val="24"/>
          <w:shd w:val="clear" w:color="auto" w:fill="FFFFFF"/>
        </w:rPr>
        <w:t>市场结构</w:t>
      </w:r>
    </w:p>
    <w:p w14:paraId="52F49B3F">
      <w:pPr>
        <w:widowControl/>
        <w:snapToGrid w:val="0"/>
        <w:spacing w:line="360" w:lineRule="auto"/>
        <w:ind w:firstLine="480"/>
        <w:rPr>
          <w:rFonts w:ascii="宋体" w:hAnsi="宋体" w:cs="宋体"/>
          <w:color w:val="000000"/>
          <w:sz w:val="24"/>
          <w:shd w:val="clear" w:color="auto" w:fill="FFFFFF"/>
        </w:rPr>
      </w:pPr>
      <w:r>
        <w:rPr>
          <w:rFonts w:hint="eastAsia" w:ascii="宋体" w:hAnsi="宋体" w:cs="宋体"/>
          <w:color w:val="000000"/>
          <w:sz w:val="24"/>
          <w:shd w:val="clear" w:color="auto" w:fill="FFFFFF"/>
        </w:rPr>
        <w:t xml:space="preserve">   市场结构类型                    市场结构与企业行为的关系</w:t>
      </w:r>
    </w:p>
    <w:p w14:paraId="317D7957">
      <w:pPr>
        <w:widowControl/>
        <w:snapToGrid w:val="0"/>
        <w:spacing w:line="360" w:lineRule="auto"/>
        <w:ind w:firstLine="480"/>
        <w:rPr>
          <w:rFonts w:ascii="宋体" w:hAnsi="宋体" w:cs="宋体"/>
          <w:color w:val="000000"/>
          <w:sz w:val="24"/>
          <w:shd w:val="clear" w:color="auto" w:fill="FFFFFF"/>
        </w:rPr>
      </w:pPr>
      <w:r>
        <w:rPr>
          <w:rFonts w:hint="eastAsia" w:ascii="宋体" w:hAnsi="宋体" w:cs="宋体"/>
          <w:color w:val="000000"/>
          <w:sz w:val="24"/>
          <w:shd w:val="clear" w:color="auto" w:fill="FFFFFF"/>
        </w:rPr>
        <w:t>完全竞争市场</w:t>
      </w:r>
    </w:p>
    <w:p w14:paraId="6AF45940">
      <w:pPr>
        <w:widowControl/>
        <w:snapToGrid w:val="0"/>
        <w:spacing w:line="360" w:lineRule="auto"/>
        <w:ind w:firstLine="480"/>
        <w:rPr>
          <w:rFonts w:ascii="宋体" w:hAnsi="宋体" w:cs="宋体"/>
          <w:color w:val="000000"/>
          <w:sz w:val="24"/>
          <w:shd w:val="clear" w:color="auto" w:fill="FFFFFF"/>
        </w:rPr>
      </w:pPr>
      <w:r>
        <w:rPr>
          <w:rFonts w:hint="eastAsia" w:ascii="宋体" w:hAnsi="宋体" w:cs="宋体"/>
          <w:color w:val="000000"/>
          <w:sz w:val="24"/>
          <w:shd w:val="clear" w:color="auto" w:fill="FFFFFF"/>
        </w:rPr>
        <w:t xml:space="preserve">   完全竞争市场含义与特征     完全竞争市场需求曲线、平均收益与边际收益</w:t>
      </w:r>
    </w:p>
    <w:p w14:paraId="3A22D96E">
      <w:pPr>
        <w:widowControl/>
        <w:snapToGrid w:val="0"/>
        <w:spacing w:line="360" w:lineRule="auto"/>
        <w:ind w:firstLine="480"/>
        <w:rPr>
          <w:rFonts w:ascii="宋体" w:hAnsi="宋体" w:cs="宋体"/>
          <w:color w:val="000000"/>
          <w:sz w:val="24"/>
          <w:shd w:val="clear" w:color="auto" w:fill="FFFFFF"/>
        </w:rPr>
      </w:pPr>
      <w:r>
        <w:rPr>
          <w:rFonts w:hint="eastAsia" w:ascii="宋体" w:hAnsi="宋体" w:cs="宋体"/>
          <w:color w:val="000000"/>
          <w:sz w:val="24"/>
          <w:shd w:val="clear" w:color="auto" w:fill="FFFFFF"/>
        </w:rPr>
        <w:t xml:space="preserve">   利润最大化的基本原则       完全竞争市场上的短期均衡与长期均衡</w:t>
      </w:r>
    </w:p>
    <w:p w14:paraId="7F924C3B">
      <w:pPr>
        <w:widowControl/>
        <w:snapToGrid w:val="0"/>
        <w:spacing w:line="360" w:lineRule="auto"/>
        <w:ind w:firstLine="480"/>
        <w:rPr>
          <w:rFonts w:ascii="宋体" w:hAnsi="宋体" w:cs="宋体"/>
          <w:color w:val="000000"/>
          <w:sz w:val="24"/>
          <w:shd w:val="clear" w:color="auto" w:fill="FFFFFF"/>
        </w:rPr>
      </w:pPr>
      <w:r>
        <w:rPr>
          <w:rFonts w:hint="eastAsia" w:ascii="宋体" w:hAnsi="宋体" w:cs="宋体"/>
          <w:color w:val="000000"/>
          <w:sz w:val="24"/>
          <w:shd w:val="clear" w:color="auto" w:fill="FFFFFF"/>
        </w:rPr>
        <w:t>非完全竞争市场</w:t>
      </w:r>
    </w:p>
    <w:p w14:paraId="5B7E25EE">
      <w:pPr>
        <w:widowControl/>
        <w:snapToGrid w:val="0"/>
        <w:spacing w:line="360" w:lineRule="auto"/>
        <w:ind w:firstLine="480"/>
        <w:rPr>
          <w:rFonts w:ascii="宋体" w:hAnsi="宋体" w:cs="宋体"/>
          <w:color w:val="000000"/>
          <w:sz w:val="24"/>
          <w:shd w:val="clear" w:color="auto" w:fill="FFFFFF"/>
        </w:rPr>
      </w:pPr>
      <w:r>
        <w:rPr>
          <w:rFonts w:hint="eastAsia" w:ascii="宋体" w:hAnsi="宋体" w:cs="宋体"/>
          <w:color w:val="000000"/>
          <w:sz w:val="24"/>
          <w:shd w:val="clear" w:color="auto" w:fill="FFFFFF"/>
        </w:rPr>
        <w:t>完全垄断、垄断竞争和寡头垄断市场的条件及其特征</w:t>
      </w:r>
    </w:p>
    <w:p w14:paraId="6EBE4C3E">
      <w:pPr>
        <w:widowControl/>
        <w:snapToGrid w:val="0"/>
        <w:spacing w:line="360" w:lineRule="auto"/>
        <w:ind w:firstLine="480"/>
        <w:rPr>
          <w:rFonts w:ascii="宋体" w:hAnsi="宋体" w:cs="宋体"/>
          <w:color w:val="000000"/>
          <w:sz w:val="24"/>
          <w:shd w:val="clear" w:color="auto" w:fill="FFFFFF"/>
        </w:rPr>
      </w:pPr>
      <w:r>
        <w:rPr>
          <w:rFonts w:hint="eastAsia" w:ascii="宋体" w:hAnsi="宋体" w:cs="宋体"/>
          <w:color w:val="000000"/>
          <w:sz w:val="24"/>
          <w:shd w:val="clear" w:color="auto" w:fill="FFFFFF"/>
        </w:rPr>
        <w:t>完全垄断厂商的需求曲线、平均收益与边际收益</w:t>
      </w:r>
    </w:p>
    <w:p w14:paraId="0FF92BAA">
      <w:pPr>
        <w:widowControl/>
        <w:snapToGrid w:val="0"/>
        <w:spacing w:line="360" w:lineRule="auto"/>
        <w:ind w:firstLine="480"/>
        <w:rPr>
          <w:rFonts w:ascii="宋体" w:hAnsi="宋体" w:cs="宋体"/>
          <w:color w:val="000000"/>
          <w:sz w:val="24"/>
          <w:shd w:val="clear" w:color="auto" w:fill="FFFFFF"/>
        </w:rPr>
      </w:pPr>
      <w:r>
        <w:rPr>
          <w:rFonts w:hint="eastAsia" w:ascii="宋体" w:hAnsi="宋体" w:cs="宋体"/>
          <w:color w:val="000000"/>
          <w:sz w:val="24"/>
          <w:shd w:val="clear" w:color="auto" w:fill="FFFFFF"/>
        </w:rPr>
        <w:t xml:space="preserve">垄断市场上的短期均衡与长期均衡 </w:t>
      </w:r>
    </w:p>
    <w:p w14:paraId="732E27BA">
      <w:pPr>
        <w:widowControl/>
        <w:snapToGrid w:val="0"/>
        <w:spacing w:line="360" w:lineRule="auto"/>
        <w:ind w:firstLine="480"/>
        <w:rPr>
          <w:rFonts w:ascii="宋体" w:hAnsi="宋体" w:cs="宋体"/>
          <w:color w:val="000000"/>
          <w:sz w:val="24"/>
          <w:shd w:val="clear" w:color="auto" w:fill="FFFFFF"/>
        </w:rPr>
      </w:pPr>
      <w:r>
        <w:rPr>
          <w:rFonts w:hint="eastAsia" w:ascii="宋体" w:hAnsi="宋体" w:cs="宋体"/>
          <w:color w:val="000000"/>
          <w:sz w:val="24"/>
          <w:shd w:val="clear" w:color="auto" w:fill="FFFFFF"/>
        </w:rPr>
        <w:t>垄断竞争与完全竞争的比较</w:t>
      </w:r>
    </w:p>
    <w:p w14:paraId="1A3975DA">
      <w:pPr>
        <w:widowControl/>
        <w:snapToGrid w:val="0"/>
        <w:spacing w:line="360" w:lineRule="auto"/>
        <w:ind w:firstLine="480"/>
        <w:rPr>
          <w:rFonts w:ascii="宋体" w:hAnsi="宋体" w:cs="宋体"/>
          <w:color w:val="000000"/>
          <w:sz w:val="24"/>
          <w:shd w:val="clear" w:color="auto" w:fill="FFFFFF"/>
        </w:rPr>
      </w:pPr>
      <w:r>
        <w:rPr>
          <w:rFonts w:hint="eastAsia" w:ascii="宋体" w:hAnsi="宋体" w:cs="宋体"/>
          <w:color w:val="000000"/>
          <w:sz w:val="24"/>
          <w:shd w:val="clear" w:color="auto" w:fill="FFFFFF"/>
        </w:rPr>
        <w:t xml:space="preserve">    垄断竞争市场上的产品差别竞争    </w:t>
      </w:r>
    </w:p>
    <w:p w14:paraId="333FDB3D">
      <w:pPr>
        <w:widowControl/>
        <w:snapToGrid w:val="0"/>
        <w:spacing w:line="360" w:lineRule="auto"/>
        <w:ind w:firstLine="480"/>
        <w:rPr>
          <w:rFonts w:ascii="宋体" w:hAnsi="宋体" w:cs="宋体"/>
          <w:color w:val="000000"/>
          <w:sz w:val="24"/>
          <w:shd w:val="clear" w:color="auto" w:fill="FFFFFF"/>
        </w:rPr>
      </w:pPr>
      <w:r>
        <w:rPr>
          <w:rFonts w:hint="eastAsia" w:ascii="宋体" w:hAnsi="宋体" w:cs="宋体"/>
          <w:color w:val="000000"/>
          <w:sz w:val="24"/>
          <w:shd w:val="clear" w:color="auto" w:fill="FFFFFF"/>
        </w:rPr>
        <w:t>现代寡头理论：博弈论含义及基本内容</w:t>
      </w:r>
    </w:p>
    <w:p w14:paraId="75A7AA33">
      <w:pPr>
        <w:widowControl/>
        <w:snapToGrid w:val="0"/>
        <w:spacing w:line="360" w:lineRule="auto"/>
        <w:ind w:firstLine="480"/>
        <w:rPr>
          <w:rFonts w:ascii="宋体" w:hAnsi="宋体" w:cs="宋体"/>
          <w:color w:val="000000"/>
          <w:sz w:val="24"/>
          <w:shd w:val="clear" w:color="auto" w:fill="FFFFFF"/>
        </w:rPr>
      </w:pPr>
      <w:r>
        <w:rPr>
          <w:rFonts w:hint="eastAsia" w:ascii="宋体" w:hAnsi="宋体" w:cs="宋体"/>
          <w:color w:val="000000"/>
          <w:sz w:val="24"/>
          <w:shd w:val="clear" w:color="auto" w:fill="FFFFFF"/>
        </w:rPr>
        <w:t>六、生产要素价格的决定</w:t>
      </w:r>
    </w:p>
    <w:p w14:paraId="2B0AB6DC">
      <w:pPr>
        <w:widowControl/>
        <w:snapToGrid w:val="0"/>
        <w:spacing w:line="360" w:lineRule="auto"/>
        <w:ind w:firstLine="480"/>
        <w:rPr>
          <w:rFonts w:ascii="宋体" w:hAnsi="宋体" w:cs="宋体"/>
          <w:color w:val="000000"/>
          <w:sz w:val="24"/>
          <w:shd w:val="clear" w:color="auto" w:fill="FFFFFF"/>
        </w:rPr>
      </w:pPr>
      <w:r>
        <w:rPr>
          <w:rFonts w:ascii="宋体" w:hAnsi="宋体" w:cs="宋体"/>
          <w:color w:val="000000"/>
          <w:sz w:val="24"/>
          <w:shd w:val="clear" w:color="auto" w:fill="FFFFFF"/>
        </w:rPr>
        <w:t>完全竞争厂商使用生产要素的原则</w:t>
      </w:r>
    </w:p>
    <w:p w14:paraId="166CBE64">
      <w:pPr>
        <w:widowControl/>
        <w:snapToGrid w:val="0"/>
        <w:spacing w:line="360" w:lineRule="auto"/>
        <w:ind w:firstLine="480"/>
        <w:rPr>
          <w:rFonts w:ascii="宋体" w:hAnsi="宋体" w:cs="宋体"/>
          <w:color w:val="000000"/>
          <w:sz w:val="24"/>
          <w:shd w:val="clear" w:color="auto" w:fill="FFFFFF"/>
        </w:rPr>
      </w:pPr>
      <w:r>
        <w:rPr>
          <w:rFonts w:ascii="宋体" w:hAnsi="宋体" w:cs="宋体"/>
          <w:color w:val="000000"/>
          <w:sz w:val="24"/>
          <w:shd w:val="clear" w:color="auto" w:fill="FFFFFF"/>
        </w:rPr>
        <w:t>完全竞争厂商对生产要素的需求曲线</w:t>
      </w:r>
    </w:p>
    <w:p w14:paraId="6CB51A94">
      <w:pPr>
        <w:widowControl/>
        <w:snapToGrid w:val="0"/>
        <w:spacing w:line="360" w:lineRule="auto"/>
        <w:ind w:firstLine="480"/>
        <w:rPr>
          <w:rFonts w:ascii="宋体" w:hAnsi="宋体" w:cs="宋体"/>
          <w:color w:val="000000"/>
          <w:sz w:val="24"/>
          <w:shd w:val="clear" w:color="auto" w:fill="FFFFFF"/>
        </w:rPr>
      </w:pPr>
      <w:r>
        <w:rPr>
          <w:rFonts w:ascii="宋体" w:hAnsi="宋体" w:cs="宋体"/>
          <w:color w:val="000000"/>
          <w:sz w:val="24"/>
          <w:shd w:val="clear" w:color="auto" w:fill="FFFFFF"/>
        </w:rPr>
        <w:t>从厂商的需求曲线到市场的需求曲线</w:t>
      </w:r>
    </w:p>
    <w:p w14:paraId="30EAE47C">
      <w:pPr>
        <w:widowControl/>
        <w:snapToGrid w:val="0"/>
        <w:spacing w:line="360" w:lineRule="auto"/>
        <w:ind w:firstLine="480"/>
        <w:rPr>
          <w:rFonts w:ascii="宋体" w:hAnsi="宋体" w:cs="宋体"/>
          <w:color w:val="000000"/>
          <w:sz w:val="24"/>
          <w:shd w:val="clear" w:color="auto" w:fill="FFFFFF"/>
        </w:rPr>
      </w:pPr>
      <w:r>
        <w:rPr>
          <w:rFonts w:ascii="宋体" w:hAnsi="宋体" w:cs="宋体"/>
          <w:color w:val="000000"/>
          <w:sz w:val="24"/>
          <w:shd w:val="clear" w:color="auto" w:fill="FFFFFF"/>
        </w:rPr>
        <w:t>劳动供</w:t>
      </w:r>
      <w:r>
        <w:rPr>
          <w:rFonts w:hint="eastAsia" w:ascii="宋体" w:hAnsi="宋体" w:cs="宋体"/>
          <w:color w:val="000000"/>
          <w:sz w:val="24"/>
          <w:shd w:val="clear" w:color="auto" w:fill="FFFFFF"/>
        </w:rPr>
        <w:t>给</w:t>
      </w:r>
      <w:r>
        <w:rPr>
          <w:rFonts w:ascii="宋体" w:hAnsi="宋体" w:cs="宋体"/>
          <w:color w:val="000000"/>
          <w:sz w:val="24"/>
          <w:shd w:val="clear" w:color="auto" w:fill="FFFFFF"/>
        </w:rPr>
        <w:t>曲线和工资率的决定</w:t>
      </w:r>
    </w:p>
    <w:p w14:paraId="75C26EC2">
      <w:pPr>
        <w:widowControl/>
        <w:snapToGrid w:val="0"/>
        <w:spacing w:line="360" w:lineRule="auto"/>
        <w:ind w:firstLine="480"/>
        <w:rPr>
          <w:rFonts w:ascii="宋体" w:hAnsi="宋体" w:cs="宋体"/>
          <w:color w:val="000000"/>
          <w:sz w:val="24"/>
          <w:shd w:val="clear" w:color="auto" w:fill="FFFFFF"/>
        </w:rPr>
      </w:pPr>
      <w:r>
        <w:rPr>
          <w:rFonts w:ascii="宋体" w:hAnsi="宋体" w:cs="宋体"/>
          <w:color w:val="000000"/>
          <w:sz w:val="24"/>
          <w:shd w:val="clear" w:color="auto" w:fill="FFFFFF"/>
        </w:rPr>
        <w:t>土地的供给曲线和地租的决定</w:t>
      </w:r>
    </w:p>
    <w:p w14:paraId="4968683F">
      <w:pPr>
        <w:widowControl/>
        <w:snapToGrid w:val="0"/>
        <w:spacing w:line="360" w:lineRule="auto"/>
        <w:ind w:firstLine="480"/>
        <w:rPr>
          <w:rFonts w:ascii="宋体" w:hAnsi="宋体" w:cs="宋体"/>
          <w:color w:val="000000"/>
          <w:sz w:val="24"/>
          <w:shd w:val="clear" w:color="auto" w:fill="FFFFFF"/>
        </w:rPr>
      </w:pPr>
      <w:r>
        <w:rPr>
          <w:rFonts w:ascii="宋体" w:hAnsi="宋体" w:cs="宋体"/>
          <w:color w:val="000000"/>
          <w:sz w:val="24"/>
          <w:shd w:val="clear" w:color="auto" w:fill="FFFFFF"/>
        </w:rPr>
        <w:t>资本的供给曲线和利息的决定</w:t>
      </w:r>
    </w:p>
    <w:p w14:paraId="7AD7D822">
      <w:pPr>
        <w:widowControl/>
        <w:snapToGrid w:val="0"/>
        <w:spacing w:line="360" w:lineRule="auto"/>
        <w:ind w:firstLine="480"/>
        <w:rPr>
          <w:rFonts w:ascii="宋体" w:hAnsi="宋体" w:cs="宋体"/>
          <w:color w:val="000000"/>
          <w:sz w:val="24"/>
          <w:shd w:val="clear" w:color="auto" w:fill="FFFFFF"/>
        </w:rPr>
      </w:pPr>
      <w:r>
        <w:rPr>
          <w:rFonts w:ascii="宋体" w:hAnsi="宋体" w:cs="宋体"/>
          <w:color w:val="000000"/>
          <w:sz w:val="24"/>
          <w:shd w:val="clear" w:color="auto" w:fill="FFFFFF"/>
        </w:rPr>
        <w:t>洛伦兹曲线和基尼系数</w:t>
      </w:r>
    </w:p>
    <w:p w14:paraId="297DE149">
      <w:pPr>
        <w:widowControl/>
        <w:snapToGrid w:val="0"/>
        <w:spacing w:line="360" w:lineRule="auto"/>
        <w:ind w:firstLine="480"/>
        <w:rPr>
          <w:rFonts w:ascii="宋体" w:hAnsi="宋体" w:cs="宋体"/>
          <w:color w:val="000000"/>
          <w:sz w:val="24"/>
          <w:shd w:val="clear" w:color="auto" w:fill="FFFFFF"/>
        </w:rPr>
      </w:pPr>
      <w:r>
        <w:rPr>
          <w:rFonts w:hint="eastAsia" w:ascii="宋体" w:hAnsi="宋体" w:cs="宋体"/>
          <w:color w:val="000000"/>
          <w:sz w:val="24"/>
          <w:shd w:val="clear" w:color="auto" w:fill="FFFFFF"/>
        </w:rPr>
        <w:t>七、一般均衡论和福利经济学</w:t>
      </w:r>
    </w:p>
    <w:p w14:paraId="384B5163">
      <w:pPr>
        <w:widowControl/>
        <w:snapToGrid w:val="0"/>
        <w:spacing w:line="360" w:lineRule="auto"/>
        <w:ind w:firstLine="480"/>
        <w:rPr>
          <w:rFonts w:ascii="宋体" w:hAnsi="宋体" w:cs="宋体"/>
          <w:color w:val="000000"/>
          <w:sz w:val="24"/>
          <w:shd w:val="clear" w:color="auto" w:fill="FFFFFF"/>
        </w:rPr>
      </w:pPr>
      <w:r>
        <w:rPr>
          <w:rFonts w:hint="eastAsia" w:ascii="宋体" w:hAnsi="宋体" w:cs="宋体"/>
          <w:color w:val="000000"/>
          <w:sz w:val="24"/>
          <w:shd w:val="clear" w:color="auto" w:fill="FFFFFF"/>
        </w:rPr>
        <w:t>一般均衡的含义</w:t>
      </w:r>
    </w:p>
    <w:p w14:paraId="6D72294A">
      <w:pPr>
        <w:widowControl/>
        <w:snapToGrid w:val="0"/>
        <w:spacing w:line="360" w:lineRule="auto"/>
        <w:ind w:firstLine="480"/>
        <w:rPr>
          <w:rFonts w:ascii="宋体" w:hAnsi="宋体" w:cs="宋体"/>
          <w:color w:val="000000"/>
          <w:sz w:val="24"/>
          <w:shd w:val="clear" w:color="auto" w:fill="FFFFFF"/>
        </w:rPr>
      </w:pPr>
      <w:r>
        <w:rPr>
          <w:rFonts w:hint="eastAsia" w:ascii="宋体" w:hAnsi="宋体" w:cs="宋体"/>
          <w:color w:val="000000"/>
          <w:sz w:val="24"/>
          <w:shd w:val="clear" w:color="auto" w:fill="FFFFFF"/>
        </w:rPr>
        <w:t>经济效率</w:t>
      </w:r>
    </w:p>
    <w:p w14:paraId="637367E4">
      <w:pPr>
        <w:widowControl/>
        <w:snapToGrid w:val="0"/>
        <w:spacing w:line="360" w:lineRule="auto"/>
        <w:ind w:firstLine="480"/>
        <w:rPr>
          <w:rFonts w:ascii="宋体" w:hAnsi="宋体" w:cs="宋体"/>
          <w:color w:val="000000"/>
          <w:sz w:val="24"/>
          <w:shd w:val="clear" w:color="auto" w:fill="FFFFFF"/>
        </w:rPr>
      </w:pPr>
      <w:r>
        <w:rPr>
          <w:rFonts w:hint="eastAsia" w:ascii="宋体" w:hAnsi="宋体" w:cs="宋体"/>
          <w:color w:val="000000"/>
          <w:sz w:val="24"/>
          <w:shd w:val="clear" w:color="auto" w:fill="FFFFFF"/>
        </w:rPr>
        <w:t>交换的帕累托最优条件</w:t>
      </w:r>
    </w:p>
    <w:p w14:paraId="453448C9">
      <w:pPr>
        <w:widowControl/>
        <w:snapToGrid w:val="0"/>
        <w:spacing w:line="360" w:lineRule="auto"/>
        <w:ind w:firstLine="480"/>
        <w:rPr>
          <w:rFonts w:ascii="宋体" w:hAnsi="宋体" w:cs="宋体"/>
          <w:color w:val="000000"/>
          <w:sz w:val="24"/>
          <w:shd w:val="clear" w:color="auto" w:fill="FFFFFF"/>
        </w:rPr>
      </w:pPr>
      <w:r>
        <w:rPr>
          <w:rFonts w:hint="eastAsia" w:ascii="宋体" w:hAnsi="宋体" w:cs="宋体"/>
          <w:color w:val="000000"/>
          <w:sz w:val="24"/>
          <w:shd w:val="clear" w:color="auto" w:fill="FFFFFF"/>
        </w:rPr>
        <w:t>生产的帕累托最优条件</w:t>
      </w:r>
    </w:p>
    <w:p w14:paraId="35D529B8">
      <w:pPr>
        <w:widowControl/>
        <w:snapToGrid w:val="0"/>
        <w:spacing w:line="360" w:lineRule="auto"/>
        <w:ind w:firstLine="480"/>
        <w:rPr>
          <w:rFonts w:ascii="宋体" w:hAnsi="宋体" w:cs="宋体"/>
          <w:color w:val="000000"/>
          <w:sz w:val="24"/>
          <w:shd w:val="clear" w:color="auto" w:fill="FFFFFF"/>
        </w:rPr>
      </w:pPr>
      <w:r>
        <w:rPr>
          <w:rFonts w:hint="eastAsia" w:ascii="宋体" w:hAnsi="宋体" w:cs="宋体"/>
          <w:color w:val="000000"/>
          <w:sz w:val="24"/>
          <w:shd w:val="clear" w:color="auto" w:fill="FFFFFF"/>
        </w:rPr>
        <w:t>交换和生产的帕累托最优条件</w:t>
      </w:r>
    </w:p>
    <w:p w14:paraId="5FE41B6C">
      <w:pPr>
        <w:widowControl/>
        <w:snapToGrid w:val="0"/>
        <w:spacing w:line="360" w:lineRule="auto"/>
        <w:ind w:firstLine="480"/>
        <w:rPr>
          <w:rFonts w:ascii="宋体" w:hAnsi="宋体" w:cs="宋体"/>
          <w:color w:val="000000"/>
          <w:sz w:val="24"/>
          <w:shd w:val="clear" w:color="auto" w:fill="FFFFFF"/>
        </w:rPr>
      </w:pPr>
      <w:r>
        <w:rPr>
          <w:rFonts w:hint="eastAsia" w:ascii="宋体" w:hAnsi="宋体" w:cs="宋体"/>
          <w:color w:val="000000"/>
          <w:sz w:val="24"/>
          <w:shd w:val="clear" w:color="auto" w:fill="FFFFFF"/>
        </w:rPr>
        <w:t>社会福利函数</w:t>
      </w:r>
    </w:p>
    <w:p w14:paraId="15DCD18E">
      <w:pPr>
        <w:widowControl/>
        <w:snapToGrid w:val="0"/>
        <w:spacing w:line="360" w:lineRule="auto"/>
        <w:ind w:firstLine="480"/>
        <w:rPr>
          <w:rFonts w:ascii="宋体" w:hAnsi="宋体" w:cs="宋体"/>
          <w:color w:val="000000"/>
          <w:sz w:val="24"/>
          <w:shd w:val="clear" w:color="auto" w:fill="FFFFFF"/>
        </w:rPr>
      </w:pPr>
      <w:r>
        <w:rPr>
          <w:rFonts w:hint="eastAsia" w:ascii="宋体" w:hAnsi="宋体" w:cs="宋体"/>
          <w:color w:val="000000"/>
          <w:sz w:val="24"/>
          <w:shd w:val="clear" w:color="auto" w:fill="FFFFFF"/>
        </w:rPr>
        <w:t>八、市场失灵和微观经济政策</w:t>
      </w:r>
    </w:p>
    <w:p w14:paraId="3C6C0F58">
      <w:pPr>
        <w:widowControl/>
        <w:snapToGrid w:val="0"/>
        <w:spacing w:line="360" w:lineRule="auto"/>
        <w:ind w:firstLine="480"/>
        <w:rPr>
          <w:rFonts w:ascii="宋体" w:hAnsi="宋体" w:cs="宋体"/>
          <w:color w:val="000000"/>
          <w:sz w:val="24"/>
          <w:shd w:val="clear" w:color="auto" w:fill="FFFFFF"/>
        </w:rPr>
      </w:pPr>
      <w:r>
        <w:rPr>
          <w:rFonts w:hint="eastAsia" w:ascii="宋体" w:hAnsi="宋体" w:cs="宋体"/>
          <w:color w:val="000000"/>
          <w:sz w:val="24"/>
          <w:shd w:val="clear" w:color="auto" w:fill="FFFFFF"/>
        </w:rPr>
        <w:t>市场失灵</w:t>
      </w:r>
    </w:p>
    <w:p w14:paraId="5EE47822">
      <w:pPr>
        <w:widowControl/>
        <w:snapToGrid w:val="0"/>
        <w:spacing w:line="360" w:lineRule="auto"/>
        <w:ind w:firstLine="480"/>
        <w:rPr>
          <w:rFonts w:ascii="宋体" w:hAnsi="宋体" w:cs="宋体"/>
          <w:color w:val="000000"/>
          <w:sz w:val="24"/>
          <w:shd w:val="clear" w:color="auto" w:fill="FFFFFF"/>
        </w:rPr>
      </w:pPr>
      <w:r>
        <w:rPr>
          <w:rFonts w:hint="eastAsia" w:ascii="宋体" w:hAnsi="宋体" w:cs="宋体"/>
          <w:color w:val="000000"/>
          <w:sz w:val="24"/>
          <w:shd w:val="clear" w:color="auto" w:fill="FFFFFF"/>
        </w:rPr>
        <w:t>外部性、科斯定理</w:t>
      </w:r>
    </w:p>
    <w:p w14:paraId="365B46EB">
      <w:pPr>
        <w:widowControl/>
        <w:snapToGrid w:val="0"/>
        <w:spacing w:line="360" w:lineRule="auto"/>
        <w:ind w:firstLine="480"/>
        <w:rPr>
          <w:rFonts w:ascii="宋体" w:hAnsi="宋体" w:cs="宋体"/>
          <w:color w:val="000000"/>
          <w:sz w:val="24"/>
          <w:shd w:val="clear" w:color="auto" w:fill="FFFFFF"/>
        </w:rPr>
      </w:pPr>
      <w:r>
        <w:rPr>
          <w:rFonts w:hint="eastAsia" w:ascii="宋体" w:hAnsi="宋体" w:cs="宋体"/>
          <w:color w:val="000000"/>
          <w:sz w:val="24"/>
          <w:shd w:val="clear" w:color="auto" w:fill="FFFFFF"/>
        </w:rPr>
        <w:t>公共物品和公共资源</w:t>
      </w:r>
    </w:p>
    <w:p w14:paraId="37155D54">
      <w:pPr>
        <w:widowControl/>
        <w:snapToGrid w:val="0"/>
        <w:spacing w:line="360" w:lineRule="auto"/>
        <w:ind w:firstLine="480"/>
        <w:rPr>
          <w:rFonts w:ascii="宋体" w:hAnsi="宋体" w:cs="宋体"/>
          <w:color w:val="000000"/>
          <w:sz w:val="24"/>
          <w:shd w:val="clear" w:color="auto" w:fill="FFFFFF"/>
        </w:rPr>
      </w:pPr>
      <w:r>
        <w:rPr>
          <w:rFonts w:hint="eastAsia" w:ascii="宋体" w:hAnsi="宋体" w:cs="宋体"/>
          <w:color w:val="000000"/>
          <w:sz w:val="24"/>
          <w:shd w:val="clear" w:color="auto" w:fill="FFFFFF"/>
        </w:rPr>
        <w:t>公共选择理论</w:t>
      </w:r>
    </w:p>
    <w:p w14:paraId="1726A429">
      <w:pPr>
        <w:widowControl/>
        <w:snapToGrid w:val="0"/>
        <w:spacing w:line="360" w:lineRule="auto"/>
        <w:ind w:firstLine="480"/>
        <w:rPr>
          <w:rFonts w:ascii="宋体" w:hAnsi="宋体" w:cs="宋体"/>
          <w:color w:val="000000"/>
          <w:sz w:val="24"/>
          <w:shd w:val="clear" w:color="auto" w:fill="FFFFFF"/>
        </w:rPr>
      </w:pPr>
      <w:r>
        <w:rPr>
          <w:rFonts w:hint="eastAsia" w:ascii="宋体" w:hAnsi="宋体" w:cs="宋体"/>
          <w:color w:val="000000"/>
          <w:sz w:val="24"/>
          <w:shd w:val="clear" w:color="auto" w:fill="FFFFFF"/>
        </w:rPr>
        <w:t>信息的不完全与不对称</w:t>
      </w:r>
    </w:p>
    <w:p w14:paraId="26FB145B">
      <w:pPr>
        <w:widowControl/>
        <w:snapToGrid w:val="0"/>
        <w:spacing w:line="360" w:lineRule="auto"/>
        <w:ind w:firstLine="480"/>
        <w:rPr>
          <w:rFonts w:ascii="宋体" w:hAnsi="宋体" w:cs="宋体"/>
          <w:color w:val="000000"/>
          <w:sz w:val="24"/>
          <w:shd w:val="clear" w:color="auto" w:fill="FFFFFF"/>
        </w:rPr>
      </w:pPr>
    </w:p>
    <w:p w14:paraId="0C7C8AE0">
      <w:pPr>
        <w:widowControl/>
        <w:snapToGrid w:val="0"/>
        <w:spacing w:line="360" w:lineRule="auto"/>
        <w:ind w:firstLine="480"/>
        <w:rPr>
          <w:rFonts w:ascii="宋体" w:hAnsi="宋体" w:cs="宋体"/>
          <w:color w:val="000000"/>
          <w:sz w:val="24"/>
          <w:shd w:val="clear" w:color="auto" w:fill="FFFFFF"/>
        </w:rPr>
      </w:pPr>
      <w:r>
        <w:rPr>
          <w:rFonts w:hint="eastAsia" w:ascii="宋体" w:hAnsi="宋体" w:cs="宋体"/>
          <w:color w:val="000000"/>
          <w:sz w:val="24"/>
          <w:shd w:val="clear" w:color="auto" w:fill="FFFFFF"/>
        </w:rPr>
        <w:t>第二部分  宏观经济理论</w:t>
      </w:r>
    </w:p>
    <w:p w14:paraId="20383696">
      <w:pPr>
        <w:widowControl/>
        <w:snapToGrid w:val="0"/>
        <w:spacing w:line="360" w:lineRule="auto"/>
        <w:ind w:firstLine="480"/>
        <w:rPr>
          <w:rFonts w:ascii="宋体" w:hAnsi="宋体" w:cs="宋体"/>
          <w:color w:val="000000"/>
          <w:sz w:val="24"/>
          <w:shd w:val="clear" w:color="auto" w:fill="FFFFFF"/>
        </w:rPr>
      </w:pPr>
      <w:r>
        <w:rPr>
          <w:rFonts w:hint="eastAsia" w:ascii="宋体" w:hAnsi="宋体" w:cs="宋体"/>
          <w:color w:val="000000"/>
          <w:sz w:val="24"/>
          <w:shd w:val="clear" w:color="auto" w:fill="FFFFFF"/>
        </w:rPr>
        <w:t>一、分配理论</w:t>
      </w:r>
    </w:p>
    <w:p w14:paraId="62C075D0">
      <w:pPr>
        <w:widowControl/>
        <w:snapToGrid w:val="0"/>
        <w:spacing w:line="360" w:lineRule="auto"/>
        <w:ind w:firstLine="480"/>
        <w:rPr>
          <w:rFonts w:ascii="宋体" w:hAnsi="宋体" w:cs="宋体"/>
          <w:color w:val="000000"/>
          <w:sz w:val="24"/>
          <w:shd w:val="clear" w:color="auto" w:fill="FFFFFF"/>
        </w:rPr>
      </w:pPr>
      <w:r>
        <w:rPr>
          <w:rFonts w:hint="eastAsia" w:ascii="宋体" w:hAnsi="宋体" w:cs="宋体"/>
          <w:color w:val="000000"/>
          <w:sz w:val="24"/>
          <w:shd w:val="clear" w:color="auto" w:fill="FFFFFF"/>
        </w:rPr>
        <w:t>社会收入分配</w:t>
      </w:r>
    </w:p>
    <w:p w14:paraId="22DDC8B3">
      <w:pPr>
        <w:widowControl/>
        <w:snapToGrid w:val="0"/>
        <w:spacing w:line="360" w:lineRule="auto"/>
        <w:ind w:firstLine="480"/>
        <w:rPr>
          <w:rFonts w:ascii="宋体" w:hAnsi="宋体" w:cs="宋体"/>
          <w:color w:val="000000"/>
          <w:sz w:val="24"/>
          <w:shd w:val="clear" w:color="auto" w:fill="FFFFFF"/>
        </w:rPr>
      </w:pPr>
      <w:r>
        <w:rPr>
          <w:rFonts w:hint="eastAsia" w:ascii="宋体" w:hAnsi="宋体" w:cs="宋体"/>
          <w:color w:val="000000"/>
          <w:sz w:val="24"/>
          <w:shd w:val="clear" w:color="auto" w:fill="FFFFFF"/>
        </w:rPr>
        <w:t xml:space="preserve">衡量社会收入分配状态的标准：劳伦斯曲线与基尼系数   </w:t>
      </w:r>
    </w:p>
    <w:p w14:paraId="24DB430E">
      <w:pPr>
        <w:widowControl/>
        <w:snapToGrid w:val="0"/>
        <w:spacing w:line="360" w:lineRule="auto"/>
        <w:ind w:firstLine="480"/>
        <w:rPr>
          <w:rFonts w:ascii="宋体" w:hAnsi="宋体" w:cs="宋体"/>
          <w:color w:val="000000"/>
          <w:sz w:val="24"/>
          <w:shd w:val="clear" w:color="auto" w:fill="FFFFFF"/>
        </w:rPr>
      </w:pPr>
      <w:r>
        <w:rPr>
          <w:rFonts w:hint="eastAsia" w:ascii="宋体" w:hAnsi="宋体" w:cs="宋体"/>
          <w:color w:val="000000"/>
          <w:sz w:val="24"/>
          <w:shd w:val="clear" w:color="auto" w:fill="FFFFFF"/>
        </w:rPr>
        <w:t>引起收入分配不平等的原因</w:t>
      </w:r>
    </w:p>
    <w:p w14:paraId="21F497A6">
      <w:pPr>
        <w:widowControl/>
        <w:snapToGrid w:val="0"/>
        <w:spacing w:line="360" w:lineRule="auto"/>
        <w:ind w:firstLine="480"/>
        <w:rPr>
          <w:rFonts w:ascii="宋体" w:hAnsi="宋体" w:cs="宋体"/>
          <w:color w:val="000000"/>
          <w:sz w:val="24"/>
          <w:shd w:val="clear" w:color="auto" w:fill="FFFFFF"/>
        </w:rPr>
      </w:pPr>
      <w:r>
        <w:rPr>
          <w:rFonts w:hint="eastAsia" w:ascii="宋体" w:hAnsi="宋体" w:cs="宋体"/>
          <w:color w:val="000000"/>
          <w:sz w:val="24"/>
          <w:shd w:val="clear" w:color="auto" w:fill="FFFFFF"/>
        </w:rPr>
        <w:t>收入再分配政策</w:t>
      </w:r>
    </w:p>
    <w:p w14:paraId="42EC0559">
      <w:pPr>
        <w:widowControl/>
        <w:snapToGrid w:val="0"/>
        <w:spacing w:line="360" w:lineRule="auto"/>
        <w:ind w:firstLine="480"/>
        <w:rPr>
          <w:rFonts w:ascii="宋体" w:hAnsi="宋体" w:cs="宋体"/>
          <w:color w:val="000000"/>
          <w:sz w:val="24"/>
          <w:shd w:val="clear" w:color="auto" w:fill="FFFFFF"/>
        </w:rPr>
      </w:pPr>
      <w:r>
        <w:rPr>
          <w:rFonts w:hint="eastAsia" w:ascii="宋体" w:hAnsi="宋体" w:cs="宋体"/>
          <w:color w:val="000000"/>
          <w:sz w:val="24"/>
          <w:shd w:val="clear" w:color="auto" w:fill="FFFFFF"/>
        </w:rPr>
        <w:t xml:space="preserve">   过程公平论与结果公平论       收入再分配政策       公平与效率</w:t>
      </w:r>
    </w:p>
    <w:p w14:paraId="501B6393">
      <w:pPr>
        <w:widowControl/>
        <w:snapToGrid w:val="0"/>
        <w:spacing w:line="360" w:lineRule="auto"/>
        <w:ind w:firstLine="480"/>
        <w:rPr>
          <w:rFonts w:ascii="宋体" w:hAnsi="宋体" w:cs="宋体"/>
          <w:color w:val="000000"/>
          <w:sz w:val="24"/>
          <w:shd w:val="clear" w:color="auto" w:fill="FFFFFF"/>
        </w:rPr>
      </w:pPr>
      <w:r>
        <w:rPr>
          <w:rFonts w:hint="eastAsia" w:ascii="宋体" w:hAnsi="宋体" w:cs="宋体"/>
          <w:color w:val="000000"/>
          <w:sz w:val="24"/>
          <w:shd w:val="clear" w:color="auto" w:fill="FFFFFF"/>
        </w:rPr>
        <w:t>二、国民收入决定理论</w:t>
      </w:r>
    </w:p>
    <w:p w14:paraId="677C0E6F">
      <w:pPr>
        <w:widowControl/>
        <w:snapToGrid w:val="0"/>
        <w:spacing w:line="360" w:lineRule="auto"/>
        <w:ind w:firstLine="480"/>
        <w:rPr>
          <w:rFonts w:ascii="宋体" w:hAnsi="宋体" w:cs="宋体"/>
          <w:color w:val="000000"/>
          <w:sz w:val="24"/>
          <w:shd w:val="clear" w:color="auto" w:fill="FFFFFF"/>
        </w:rPr>
      </w:pPr>
      <w:r>
        <w:rPr>
          <w:rFonts w:hint="eastAsia" w:ascii="宋体" w:hAnsi="宋体" w:cs="宋体"/>
          <w:color w:val="000000"/>
          <w:sz w:val="24"/>
          <w:shd w:val="clear" w:color="auto" w:fill="FFFFFF"/>
        </w:rPr>
        <w:t>国内生产总值</w:t>
      </w:r>
    </w:p>
    <w:p w14:paraId="28ED3B99">
      <w:pPr>
        <w:widowControl/>
        <w:snapToGrid w:val="0"/>
        <w:spacing w:line="360" w:lineRule="auto"/>
        <w:ind w:firstLine="480"/>
        <w:rPr>
          <w:rFonts w:ascii="宋体" w:hAnsi="宋体" w:cs="宋体"/>
          <w:color w:val="000000"/>
          <w:sz w:val="24"/>
          <w:shd w:val="clear" w:color="auto" w:fill="FFFFFF"/>
        </w:rPr>
      </w:pPr>
      <w:r>
        <w:rPr>
          <w:rFonts w:hint="eastAsia" w:ascii="宋体" w:hAnsi="宋体" w:cs="宋体"/>
          <w:color w:val="000000"/>
          <w:sz w:val="24"/>
          <w:shd w:val="clear" w:color="auto" w:fill="FFFFFF"/>
        </w:rPr>
        <w:t xml:space="preserve">国内生产总值的含义                       </w:t>
      </w:r>
    </w:p>
    <w:p w14:paraId="7C3734DA">
      <w:pPr>
        <w:widowControl/>
        <w:snapToGrid w:val="0"/>
        <w:spacing w:line="360" w:lineRule="auto"/>
        <w:ind w:firstLine="480"/>
        <w:rPr>
          <w:rFonts w:ascii="宋体" w:hAnsi="宋体" w:cs="宋体"/>
          <w:color w:val="000000"/>
          <w:sz w:val="24"/>
          <w:shd w:val="clear" w:color="auto" w:fill="FFFFFF"/>
        </w:rPr>
      </w:pPr>
      <w:r>
        <w:rPr>
          <w:rFonts w:hint="eastAsia" w:ascii="宋体" w:hAnsi="宋体" w:cs="宋体"/>
          <w:color w:val="000000"/>
          <w:sz w:val="24"/>
          <w:shd w:val="clear" w:color="auto" w:fill="FFFFFF"/>
        </w:rPr>
        <w:t>国内生产总值的计算方法</w:t>
      </w:r>
    </w:p>
    <w:p w14:paraId="6EA8E205">
      <w:pPr>
        <w:widowControl/>
        <w:snapToGrid w:val="0"/>
        <w:spacing w:line="360" w:lineRule="auto"/>
        <w:ind w:firstLine="480"/>
        <w:rPr>
          <w:rFonts w:ascii="宋体" w:hAnsi="宋体" w:cs="宋体"/>
          <w:color w:val="000000"/>
          <w:sz w:val="24"/>
          <w:shd w:val="clear" w:color="auto" w:fill="FFFFFF"/>
        </w:rPr>
      </w:pPr>
      <w:r>
        <w:rPr>
          <w:rFonts w:hint="eastAsia" w:ascii="宋体" w:hAnsi="宋体" w:cs="宋体"/>
          <w:color w:val="000000"/>
          <w:sz w:val="24"/>
          <w:shd w:val="clear" w:color="auto" w:fill="FFFFFF"/>
        </w:rPr>
        <w:t xml:space="preserve">实际国内生产总值与名义国内生产总值      </w:t>
      </w:r>
    </w:p>
    <w:p w14:paraId="168E0AEA">
      <w:pPr>
        <w:widowControl/>
        <w:snapToGrid w:val="0"/>
        <w:spacing w:line="360" w:lineRule="auto"/>
        <w:ind w:firstLine="480"/>
        <w:rPr>
          <w:rFonts w:ascii="宋体" w:hAnsi="宋体" w:cs="宋体"/>
          <w:color w:val="000000"/>
          <w:sz w:val="24"/>
          <w:shd w:val="clear" w:color="auto" w:fill="FFFFFF"/>
        </w:rPr>
      </w:pPr>
      <w:r>
        <w:rPr>
          <w:rFonts w:hint="eastAsia" w:ascii="宋体" w:hAnsi="宋体" w:cs="宋体"/>
          <w:color w:val="000000"/>
          <w:sz w:val="24"/>
          <w:shd w:val="clear" w:color="auto" w:fill="FFFFFF"/>
        </w:rPr>
        <w:t>国内生产总值与人均国内生产总值</w:t>
      </w:r>
    </w:p>
    <w:p w14:paraId="66D32EDD">
      <w:pPr>
        <w:widowControl/>
        <w:snapToGrid w:val="0"/>
        <w:spacing w:line="360" w:lineRule="auto"/>
        <w:ind w:firstLine="480"/>
        <w:rPr>
          <w:rFonts w:ascii="宋体" w:hAnsi="宋体" w:cs="宋体"/>
          <w:color w:val="000000"/>
          <w:sz w:val="24"/>
          <w:shd w:val="clear" w:color="auto" w:fill="FFFFFF"/>
        </w:rPr>
      </w:pPr>
      <w:r>
        <w:rPr>
          <w:rFonts w:hint="eastAsia" w:ascii="宋体" w:hAnsi="宋体" w:cs="宋体"/>
          <w:color w:val="000000"/>
          <w:sz w:val="24"/>
          <w:shd w:val="clear" w:color="auto" w:fill="FFFFFF"/>
        </w:rPr>
        <w:t>消费函数、储蓄函数</w:t>
      </w:r>
    </w:p>
    <w:p w14:paraId="2B94A097">
      <w:pPr>
        <w:widowControl/>
        <w:snapToGrid w:val="0"/>
        <w:spacing w:line="360" w:lineRule="auto"/>
        <w:ind w:firstLine="480"/>
        <w:rPr>
          <w:rFonts w:ascii="宋体" w:hAnsi="宋体" w:cs="宋体"/>
          <w:color w:val="000000"/>
          <w:sz w:val="24"/>
          <w:shd w:val="clear" w:color="auto" w:fill="FFFFFF"/>
        </w:rPr>
      </w:pPr>
      <w:r>
        <w:rPr>
          <w:rFonts w:hint="eastAsia" w:ascii="宋体" w:hAnsi="宋体" w:cs="宋体"/>
          <w:color w:val="000000"/>
          <w:sz w:val="24"/>
          <w:shd w:val="clear" w:color="auto" w:fill="FFFFFF"/>
        </w:rPr>
        <w:t>乘数理论</w:t>
      </w:r>
    </w:p>
    <w:p w14:paraId="3C413027">
      <w:pPr>
        <w:widowControl/>
        <w:snapToGrid w:val="0"/>
        <w:spacing w:line="360" w:lineRule="auto"/>
        <w:ind w:firstLine="480"/>
        <w:rPr>
          <w:rFonts w:ascii="宋体" w:hAnsi="宋体" w:cs="宋体"/>
          <w:color w:val="000000"/>
          <w:sz w:val="24"/>
          <w:shd w:val="clear" w:color="auto" w:fill="FFFFFF"/>
        </w:rPr>
      </w:pPr>
      <w:r>
        <w:rPr>
          <w:rFonts w:hint="eastAsia" w:ascii="宋体" w:hAnsi="宋体" w:cs="宋体"/>
          <w:color w:val="000000"/>
          <w:sz w:val="24"/>
          <w:shd w:val="clear" w:color="auto" w:fill="FFFFFF"/>
        </w:rPr>
        <w:t>其他宏观经济指标</w:t>
      </w:r>
    </w:p>
    <w:p w14:paraId="1EA0DB1F">
      <w:pPr>
        <w:widowControl/>
        <w:snapToGrid w:val="0"/>
        <w:spacing w:line="360" w:lineRule="auto"/>
        <w:ind w:firstLine="480"/>
        <w:rPr>
          <w:rFonts w:ascii="宋体" w:hAnsi="宋体" w:cs="宋体"/>
          <w:color w:val="000000"/>
          <w:sz w:val="24"/>
          <w:shd w:val="clear" w:color="auto" w:fill="FFFFFF"/>
        </w:rPr>
      </w:pPr>
      <w:r>
        <w:rPr>
          <w:rFonts w:hint="eastAsia" w:ascii="宋体" w:hAnsi="宋体" w:cs="宋体"/>
          <w:color w:val="000000"/>
          <w:sz w:val="24"/>
          <w:shd w:val="clear" w:color="auto" w:fill="FFFFFF"/>
        </w:rPr>
        <w:t>物价指数                       失业率</w:t>
      </w:r>
    </w:p>
    <w:p w14:paraId="5050E7A0">
      <w:pPr>
        <w:widowControl/>
        <w:snapToGrid w:val="0"/>
        <w:spacing w:line="360" w:lineRule="auto"/>
        <w:ind w:firstLine="480"/>
        <w:rPr>
          <w:rFonts w:ascii="宋体" w:hAnsi="宋体" w:cs="宋体"/>
          <w:color w:val="000000"/>
          <w:sz w:val="24"/>
          <w:shd w:val="clear" w:color="auto" w:fill="FFFFFF"/>
        </w:rPr>
      </w:pPr>
      <w:r>
        <w:rPr>
          <w:rFonts w:hint="eastAsia" w:ascii="宋体" w:hAnsi="宋体" w:cs="宋体"/>
          <w:color w:val="000000"/>
          <w:sz w:val="24"/>
          <w:shd w:val="clear" w:color="auto" w:fill="FFFFFF"/>
        </w:rPr>
        <w:t>三、产品市场和货币市场的一般均衡理论</w:t>
      </w:r>
    </w:p>
    <w:p w14:paraId="5593912F">
      <w:pPr>
        <w:widowControl/>
        <w:snapToGrid w:val="0"/>
        <w:spacing w:line="360" w:lineRule="auto"/>
        <w:ind w:firstLine="480"/>
        <w:rPr>
          <w:rFonts w:ascii="宋体" w:hAnsi="宋体" w:cs="宋体"/>
          <w:color w:val="000000"/>
          <w:sz w:val="24"/>
          <w:shd w:val="clear" w:color="auto" w:fill="FFFFFF"/>
        </w:rPr>
      </w:pPr>
      <w:r>
        <w:rPr>
          <w:rFonts w:hint="eastAsia" w:ascii="宋体" w:hAnsi="宋体" w:cs="宋体"/>
          <w:color w:val="000000"/>
          <w:sz w:val="24"/>
          <w:shd w:val="clear" w:color="auto" w:fill="FFFFFF"/>
        </w:rPr>
        <w:t>投资的决定</w:t>
      </w:r>
    </w:p>
    <w:p w14:paraId="72425399">
      <w:pPr>
        <w:widowControl/>
        <w:snapToGrid w:val="0"/>
        <w:spacing w:line="360" w:lineRule="auto"/>
        <w:ind w:firstLine="480"/>
        <w:rPr>
          <w:rFonts w:ascii="宋体" w:hAnsi="宋体" w:cs="宋体"/>
          <w:color w:val="000000"/>
          <w:sz w:val="24"/>
          <w:shd w:val="clear" w:color="auto" w:fill="FFFFFF"/>
        </w:rPr>
      </w:pPr>
      <w:r>
        <w:rPr>
          <w:rFonts w:hint="eastAsia" w:ascii="宋体" w:hAnsi="宋体" w:cs="宋体"/>
          <w:color w:val="000000"/>
          <w:sz w:val="24"/>
          <w:shd w:val="clear" w:color="auto" w:fill="FFFFFF"/>
        </w:rPr>
        <w:t>实际利率与投资                  边际效率的意义与资本边际效率曲线</w:t>
      </w:r>
    </w:p>
    <w:p w14:paraId="5D8677C1">
      <w:pPr>
        <w:widowControl/>
        <w:snapToGrid w:val="0"/>
        <w:spacing w:line="360" w:lineRule="auto"/>
        <w:ind w:firstLine="480"/>
        <w:rPr>
          <w:rFonts w:ascii="宋体" w:hAnsi="宋体" w:cs="宋体"/>
          <w:color w:val="000000"/>
          <w:sz w:val="24"/>
          <w:shd w:val="clear" w:color="auto" w:fill="FFFFFF"/>
        </w:rPr>
      </w:pPr>
      <w:r>
        <w:rPr>
          <w:rFonts w:hint="eastAsia" w:ascii="宋体" w:hAnsi="宋体" w:cs="宋体"/>
          <w:color w:val="000000"/>
          <w:sz w:val="24"/>
          <w:shd w:val="clear" w:color="auto" w:fill="FFFFFF"/>
        </w:rPr>
        <w:t>投资边际效率曲线                预期收益与投资</w:t>
      </w:r>
    </w:p>
    <w:p w14:paraId="2583E2D7">
      <w:pPr>
        <w:widowControl/>
        <w:snapToGrid w:val="0"/>
        <w:spacing w:line="360" w:lineRule="auto"/>
        <w:ind w:firstLine="480"/>
        <w:rPr>
          <w:rFonts w:ascii="宋体" w:hAnsi="宋体" w:cs="宋体"/>
          <w:color w:val="000000"/>
          <w:sz w:val="24"/>
          <w:shd w:val="clear" w:color="auto" w:fill="FFFFFF"/>
        </w:rPr>
      </w:pPr>
      <w:r>
        <w:rPr>
          <w:rFonts w:hint="eastAsia" w:ascii="宋体" w:hAnsi="宋体" w:cs="宋体"/>
          <w:color w:val="000000"/>
          <w:sz w:val="24"/>
          <w:shd w:val="clear" w:color="auto" w:fill="FFFFFF"/>
        </w:rPr>
        <w:t>商品市场的均衡（IS）曲线</w:t>
      </w:r>
    </w:p>
    <w:p w14:paraId="775C2A89">
      <w:pPr>
        <w:widowControl/>
        <w:snapToGrid w:val="0"/>
        <w:spacing w:line="360" w:lineRule="auto"/>
        <w:ind w:firstLine="480"/>
        <w:rPr>
          <w:rFonts w:ascii="宋体" w:hAnsi="宋体" w:cs="宋体"/>
          <w:color w:val="000000"/>
          <w:sz w:val="24"/>
          <w:shd w:val="clear" w:color="auto" w:fill="FFFFFF"/>
        </w:rPr>
      </w:pPr>
      <w:r>
        <w:rPr>
          <w:rFonts w:hint="eastAsia" w:ascii="宋体" w:hAnsi="宋体" w:cs="宋体"/>
          <w:color w:val="000000"/>
          <w:sz w:val="24"/>
          <w:shd w:val="clear" w:color="auto" w:fill="FFFFFF"/>
        </w:rPr>
        <w:t>货币市场的均衡（LM）曲线</w:t>
      </w:r>
    </w:p>
    <w:p w14:paraId="7C2A6A5D">
      <w:pPr>
        <w:widowControl/>
        <w:snapToGrid w:val="0"/>
        <w:spacing w:line="360" w:lineRule="auto"/>
        <w:ind w:firstLine="480"/>
        <w:rPr>
          <w:rFonts w:ascii="宋体" w:hAnsi="宋体" w:cs="宋体"/>
          <w:color w:val="000000"/>
          <w:sz w:val="24"/>
          <w:shd w:val="clear" w:color="auto" w:fill="FFFFFF"/>
        </w:rPr>
      </w:pPr>
      <w:r>
        <w:rPr>
          <w:rFonts w:hint="eastAsia" w:ascii="宋体" w:hAnsi="宋体" w:cs="宋体"/>
          <w:color w:val="000000"/>
          <w:sz w:val="24"/>
          <w:shd w:val="clear" w:color="auto" w:fill="FFFFFF"/>
        </w:rPr>
        <w:t>利率的决定</w:t>
      </w:r>
    </w:p>
    <w:p w14:paraId="5744BEE3">
      <w:pPr>
        <w:widowControl/>
        <w:snapToGrid w:val="0"/>
        <w:spacing w:line="360" w:lineRule="auto"/>
        <w:ind w:firstLine="480"/>
        <w:rPr>
          <w:rFonts w:ascii="宋体" w:hAnsi="宋体" w:cs="宋体"/>
          <w:color w:val="000000"/>
          <w:sz w:val="24"/>
          <w:shd w:val="clear" w:color="auto" w:fill="FFFFFF"/>
        </w:rPr>
      </w:pPr>
      <w:r>
        <w:rPr>
          <w:rFonts w:hint="eastAsia" w:ascii="宋体" w:hAnsi="宋体" w:cs="宋体"/>
          <w:color w:val="000000"/>
          <w:sz w:val="24"/>
          <w:shd w:val="clear" w:color="auto" w:fill="FFFFFF"/>
        </w:rPr>
        <w:t xml:space="preserve">四、宏观经济政策分析 </w:t>
      </w:r>
    </w:p>
    <w:p w14:paraId="56AB2F98">
      <w:pPr>
        <w:widowControl/>
        <w:snapToGrid w:val="0"/>
        <w:spacing w:line="360" w:lineRule="auto"/>
        <w:ind w:firstLine="480"/>
        <w:rPr>
          <w:rFonts w:ascii="宋体" w:hAnsi="宋体" w:cs="宋体"/>
          <w:color w:val="000000"/>
          <w:sz w:val="24"/>
          <w:shd w:val="clear" w:color="auto" w:fill="FFFFFF"/>
        </w:rPr>
      </w:pPr>
      <w:r>
        <w:rPr>
          <w:rFonts w:hint="eastAsia" w:ascii="宋体" w:hAnsi="宋体" w:cs="宋体"/>
          <w:color w:val="000000"/>
          <w:sz w:val="24"/>
          <w:shd w:val="clear" w:color="auto" w:fill="FFFFFF"/>
        </w:rPr>
        <w:t>财政政策和货币政策的影响</w:t>
      </w:r>
    </w:p>
    <w:p w14:paraId="477626BB">
      <w:pPr>
        <w:widowControl/>
        <w:snapToGrid w:val="0"/>
        <w:spacing w:line="360" w:lineRule="auto"/>
        <w:ind w:firstLine="480"/>
        <w:rPr>
          <w:rFonts w:ascii="宋体" w:hAnsi="宋体" w:cs="宋体"/>
          <w:color w:val="000000"/>
          <w:sz w:val="24"/>
          <w:shd w:val="clear" w:color="auto" w:fill="FFFFFF"/>
        </w:rPr>
      </w:pPr>
      <w:r>
        <w:rPr>
          <w:rFonts w:hint="eastAsia" w:ascii="宋体" w:hAnsi="宋体" w:cs="宋体"/>
          <w:color w:val="000000"/>
          <w:sz w:val="24"/>
          <w:shd w:val="clear" w:color="auto" w:fill="FFFFFF"/>
        </w:rPr>
        <w:t>财政政策                         货币政策</w:t>
      </w:r>
    </w:p>
    <w:p w14:paraId="28741842">
      <w:pPr>
        <w:widowControl/>
        <w:snapToGrid w:val="0"/>
        <w:spacing w:line="360" w:lineRule="auto"/>
        <w:ind w:firstLine="480"/>
        <w:rPr>
          <w:rFonts w:ascii="宋体" w:hAnsi="宋体" w:cs="宋体"/>
          <w:color w:val="000000"/>
          <w:sz w:val="24"/>
          <w:shd w:val="clear" w:color="auto" w:fill="FFFFFF"/>
        </w:rPr>
      </w:pPr>
      <w:r>
        <w:rPr>
          <w:rFonts w:hint="eastAsia" w:ascii="宋体" w:hAnsi="宋体" w:cs="宋体"/>
          <w:color w:val="000000"/>
          <w:sz w:val="24"/>
          <w:shd w:val="clear" w:color="auto" w:fill="FFFFFF"/>
        </w:rPr>
        <w:t>财政政策和货币政策的影响         财政政策和货币政策的混合使用</w:t>
      </w:r>
    </w:p>
    <w:p w14:paraId="40238502">
      <w:pPr>
        <w:widowControl/>
        <w:snapToGrid w:val="0"/>
        <w:spacing w:line="360" w:lineRule="auto"/>
        <w:ind w:firstLine="480"/>
        <w:rPr>
          <w:rFonts w:ascii="宋体" w:hAnsi="宋体" w:cs="宋体"/>
          <w:color w:val="000000"/>
          <w:sz w:val="24"/>
          <w:shd w:val="clear" w:color="auto" w:fill="FFFFFF"/>
        </w:rPr>
      </w:pPr>
      <w:r>
        <w:rPr>
          <w:rFonts w:hint="eastAsia" w:ascii="宋体" w:hAnsi="宋体" w:cs="宋体"/>
          <w:color w:val="000000"/>
          <w:sz w:val="24"/>
          <w:shd w:val="clear" w:color="auto" w:fill="FFFFFF"/>
        </w:rPr>
        <w:t>经济政策目标</w:t>
      </w:r>
    </w:p>
    <w:p w14:paraId="63B74980">
      <w:pPr>
        <w:widowControl/>
        <w:snapToGrid w:val="0"/>
        <w:spacing w:line="360" w:lineRule="auto"/>
        <w:ind w:firstLine="480"/>
        <w:rPr>
          <w:rFonts w:ascii="宋体" w:hAnsi="宋体" w:cs="宋体"/>
          <w:color w:val="000000"/>
          <w:sz w:val="24"/>
          <w:shd w:val="clear" w:color="auto" w:fill="FFFFFF"/>
        </w:rPr>
      </w:pPr>
      <w:r>
        <w:rPr>
          <w:rFonts w:hint="eastAsia" w:ascii="宋体" w:hAnsi="宋体" w:cs="宋体"/>
          <w:color w:val="000000"/>
          <w:sz w:val="24"/>
          <w:shd w:val="clear" w:color="auto" w:fill="FFFFFF"/>
        </w:rPr>
        <w:t xml:space="preserve">充分就业                         价格稳定 </w:t>
      </w:r>
    </w:p>
    <w:p w14:paraId="54EC8490">
      <w:pPr>
        <w:widowControl/>
        <w:snapToGrid w:val="0"/>
        <w:spacing w:line="360" w:lineRule="auto"/>
        <w:ind w:firstLine="480"/>
        <w:rPr>
          <w:rFonts w:ascii="宋体" w:hAnsi="宋体" w:cs="宋体"/>
          <w:color w:val="000000"/>
          <w:sz w:val="24"/>
          <w:shd w:val="clear" w:color="auto" w:fill="FFFFFF"/>
        </w:rPr>
      </w:pPr>
      <w:r>
        <w:rPr>
          <w:rFonts w:hint="eastAsia" w:ascii="宋体" w:hAnsi="宋体" w:cs="宋体"/>
          <w:color w:val="000000"/>
          <w:sz w:val="24"/>
          <w:shd w:val="clear" w:color="auto" w:fill="FFFFFF"/>
        </w:rPr>
        <w:t>经济持续均衡增长                 国际收支平衡。</w:t>
      </w:r>
    </w:p>
    <w:p w14:paraId="414CC4CC">
      <w:pPr>
        <w:widowControl/>
        <w:snapToGrid w:val="0"/>
        <w:spacing w:line="360" w:lineRule="auto"/>
        <w:ind w:firstLine="480"/>
        <w:rPr>
          <w:rFonts w:ascii="宋体" w:hAnsi="宋体" w:cs="宋体"/>
          <w:color w:val="000000"/>
          <w:sz w:val="24"/>
          <w:shd w:val="clear" w:color="auto" w:fill="FFFFFF"/>
        </w:rPr>
      </w:pPr>
      <w:r>
        <w:rPr>
          <w:rFonts w:hint="eastAsia" w:ascii="宋体" w:hAnsi="宋体" w:cs="宋体"/>
          <w:color w:val="000000"/>
          <w:sz w:val="24"/>
          <w:shd w:val="clear" w:color="auto" w:fill="FFFFFF"/>
        </w:rPr>
        <w:t>财政政策</w:t>
      </w:r>
    </w:p>
    <w:p w14:paraId="5D7F2066">
      <w:pPr>
        <w:widowControl/>
        <w:snapToGrid w:val="0"/>
        <w:spacing w:line="360" w:lineRule="auto"/>
        <w:ind w:firstLine="480"/>
        <w:rPr>
          <w:rFonts w:ascii="宋体" w:hAnsi="宋体" w:cs="宋体"/>
          <w:color w:val="000000"/>
          <w:sz w:val="24"/>
          <w:shd w:val="clear" w:color="auto" w:fill="FFFFFF"/>
        </w:rPr>
      </w:pPr>
      <w:r>
        <w:rPr>
          <w:rFonts w:hint="eastAsia" w:ascii="宋体" w:hAnsi="宋体" w:cs="宋体"/>
          <w:color w:val="000000"/>
          <w:sz w:val="24"/>
          <w:shd w:val="clear" w:color="auto" w:fill="FFFFFF"/>
        </w:rPr>
        <w:t>财政政策工具                     自动稳定与相机抉择的财政政策</w:t>
      </w:r>
    </w:p>
    <w:p w14:paraId="18C84BB3">
      <w:pPr>
        <w:widowControl/>
        <w:snapToGrid w:val="0"/>
        <w:spacing w:line="360" w:lineRule="auto"/>
        <w:ind w:firstLine="480"/>
        <w:rPr>
          <w:rFonts w:ascii="宋体" w:hAnsi="宋体" w:cs="宋体"/>
          <w:color w:val="000000"/>
          <w:sz w:val="24"/>
          <w:shd w:val="clear" w:color="auto" w:fill="FFFFFF"/>
        </w:rPr>
      </w:pPr>
      <w:r>
        <w:rPr>
          <w:rFonts w:hint="eastAsia" w:ascii="宋体" w:hAnsi="宋体" w:cs="宋体"/>
          <w:color w:val="000000"/>
          <w:sz w:val="24"/>
          <w:shd w:val="clear" w:color="auto" w:fill="FFFFFF"/>
        </w:rPr>
        <w:t>功能财政和预算盈余               充分就业预算盈余与财政政策方向</w:t>
      </w:r>
    </w:p>
    <w:p w14:paraId="0FC12A51">
      <w:pPr>
        <w:widowControl/>
        <w:snapToGrid w:val="0"/>
        <w:spacing w:line="360" w:lineRule="auto"/>
        <w:ind w:firstLine="480"/>
        <w:rPr>
          <w:rFonts w:ascii="宋体" w:hAnsi="宋体" w:cs="宋体"/>
          <w:color w:val="000000"/>
          <w:sz w:val="24"/>
          <w:shd w:val="clear" w:color="auto" w:fill="FFFFFF"/>
        </w:rPr>
      </w:pPr>
      <w:r>
        <w:rPr>
          <w:rFonts w:hint="eastAsia" w:ascii="宋体" w:hAnsi="宋体" w:cs="宋体"/>
          <w:color w:val="000000"/>
          <w:sz w:val="24"/>
          <w:shd w:val="clear" w:color="auto" w:fill="FFFFFF"/>
        </w:rPr>
        <w:t>货币政策</w:t>
      </w:r>
    </w:p>
    <w:p w14:paraId="1FC3E6EE">
      <w:pPr>
        <w:widowControl/>
        <w:snapToGrid w:val="0"/>
        <w:spacing w:line="360" w:lineRule="auto"/>
        <w:ind w:firstLine="480"/>
        <w:rPr>
          <w:rFonts w:ascii="宋体" w:hAnsi="宋体" w:cs="宋体"/>
          <w:color w:val="000000"/>
          <w:sz w:val="24"/>
          <w:shd w:val="clear" w:color="auto" w:fill="FFFFFF"/>
        </w:rPr>
      </w:pPr>
      <w:r>
        <w:rPr>
          <w:rFonts w:hint="eastAsia" w:ascii="宋体" w:hAnsi="宋体" w:cs="宋体"/>
          <w:color w:val="000000"/>
          <w:sz w:val="24"/>
          <w:shd w:val="clear" w:color="auto" w:fill="FFFFFF"/>
        </w:rPr>
        <w:t>商业银行和中央银行               存款创造和货币供给</w:t>
      </w:r>
    </w:p>
    <w:p w14:paraId="34C1FEA1">
      <w:pPr>
        <w:widowControl/>
        <w:snapToGrid w:val="0"/>
        <w:spacing w:line="360" w:lineRule="auto"/>
        <w:ind w:firstLine="480"/>
        <w:rPr>
          <w:rFonts w:ascii="宋体" w:hAnsi="宋体" w:cs="宋体"/>
          <w:color w:val="000000"/>
          <w:sz w:val="24"/>
          <w:shd w:val="clear" w:color="auto" w:fill="FFFFFF"/>
        </w:rPr>
      </w:pPr>
      <w:r>
        <w:rPr>
          <w:rFonts w:hint="eastAsia" w:ascii="宋体" w:hAnsi="宋体" w:cs="宋体"/>
          <w:color w:val="000000"/>
          <w:sz w:val="24"/>
          <w:shd w:val="clear" w:color="auto" w:fill="FFFFFF"/>
        </w:rPr>
        <w:t>债券价格与市场利息率的关系       货币政策及其工具</w:t>
      </w:r>
    </w:p>
    <w:p w14:paraId="5DCD135F">
      <w:pPr>
        <w:widowControl/>
        <w:snapToGrid w:val="0"/>
        <w:spacing w:line="360" w:lineRule="auto"/>
        <w:ind w:firstLine="480"/>
        <w:rPr>
          <w:rFonts w:ascii="宋体" w:hAnsi="宋体" w:cs="宋体"/>
          <w:color w:val="000000"/>
          <w:sz w:val="24"/>
          <w:shd w:val="clear" w:color="auto" w:fill="FFFFFF"/>
        </w:rPr>
      </w:pPr>
      <w:r>
        <w:rPr>
          <w:rFonts w:hint="eastAsia" w:ascii="宋体" w:hAnsi="宋体" w:cs="宋体"/>
          <w:color w:val="000000"/>
          <w:sz w:val="24"/>
          <w:shd w:val="clear" w:color="auto" w:fill="FFFFFF"/>
        </w:rPr>
        <w:t>货币政策起作用的其他途径</w:t>
      </w:r>
    </w:p>
    <w:p w14:paraId="107C1198">
      <w:pPr>
        <w:widowControl/>
        <w:snapToGrid w:val="0"/>
        <w:spacing w:line="360" w:lineRule="auto"/>
        <w:ind w:firstLine="480"/>
        <w:rPr>
          <w:rFonts w:ascii="宋体" w:hAnsi="宋体" w:cs="宋体"/>
          <w:color w:val="000000"/>
          <w:sz w:val="24"/>
          <w:shd w:val="clear" w:color="auto" w:fill="FFFFFF"/>
        </w:rPr>
      </w:pPr>
      <w:r>
        <w:rPr>
          <w:rFonts w:hint="eastAsia" w:ascii="宋体" w:hAnsi="宋体" w:cs="宋体"/>
          <w:color w:val="000000"/>
          <w:sz w:val="24"/>
          <w:shd w:val="clear" w:color="auto" w:fill="FFFFFF"/>
        </w:rPr>
        <w:t>五、失业、通货膨胀理论</w:t>
      </w:r>
    </w:p>
    <w:p w14:paraId="1F564CEB">
      <w:pPr>
        <w:widowControl/>
        <w:snapToGrid w:val="0"/>
        <w:spacing w:line="360" w:lineRule="auto"/>
        <w:ind w:firstLine="480"/>
        <w:rPr>
          <w:rFonts w:ascii="宋体" w:hAnsi="宋体" w:cs="宋体"/>
          <w:color w:val="000000"/>
          <w:sz w:val="24"/>
          <w:shd w:val="clear" w:color="auto" w:fill="FFFFFF"/>
        </w:rPr>
      </w:pPr>
      <w:r>
        <w:rPr>
          <w:rFonts w:hint="eastAsia" w:ascii="宋体" w:hAnsi="宋体" w:cs="宋体"/>
          <w:color w:val="000000"/>
          <w:sz w:val="24"/>
          <w:shd w:val="clear" w:color="auto" w:fill="FFFFFF"/>
        </w:rPr>
        <w:t>失业理论</w:t>
      </w:r>
    </w:p>
    <w:p w14:paraId="68225ECD">
      <w:pPr>
        <w:widowControl/>
        <w:snapToGrid w:val="0"/>
        <w:spacing w:line="360" w:lineRule="auto"/>
        <w:ind w:firstLine="480"/>
        <w:rPr>
          <w:rFonts w:ascii="宋体" w:hAnsi="宋体" w:cs="宋体"/>
          <w:color w:val="000000"/>
          <w:sz w:val="24"/>
          <w:shd w:val="clear" w:color="auto" w:fill="FFFFFF"/>
        </w:rPr>
      </w:pPr>
      <w:r>
        <w:rPr>
          <w:rFonts w:hint="eastAsia" w:ascii="宋体" w:hAnsi="宋体" w:cs="宋体"/>
          <w:color w:val="000000"/>
          <w:sz w:val="24"/>
          <w:shd w:val="clear" w:color="auto" w:fill="FFFFFF"/>
        </w:rPr>
        <w:t xml:space="preserve">失业的分类                       自然失业率和自然就业率  </w:t>
      </w:r>
    </w:p>
    <w:p w14:paraId="46EC4764">
      <w:pPr>
        <w:widowControl/>
        <w:snapToGrid w:val="0"/>
        <w:spacing w:line="360" w:lineRule="auto"/>
        <w:ind w:firstLine="480"/>
        <w:rPr>
          <w:rFonts w:ascii="宋体" w:hAnsi="宋体" w:cs="宋体"/>
          <w:color w:val="000000"/>
          <w:sz w:val="24"/>
          <w:shd w:val="clear" w:color="auto" w:fill="FFFFFF"/>
        </w:rPr>
      </w:pPr>
      <w:r>
        <w:rPr>
          <w:rFonts w:hint="eastAsia" w:ascii="宋体" w:hAnsi="宋体" w:cs="宋体"/>
          <w:color w:val="000000"/>
          <w:sz w:val="24"/>
          <w:shd w:val="clear" w:color="auto" w:fill="FFFFFF"/>
        </w:rPr>
        <w:t>失业的影响                       奥肯定律</w:t>
      </w:r>
    </w:p>
    <w:p w14:paraId="2D073DAA">
      <w:pPr>
        <w:widowControl/>
        <w:snapToGrid w:val="0"/>
        <w:spacing w:line="360" w:lineRule="auto"/>
        <w:ind w:firstLine="480"/>
        <w:rPr>
          <w:rFonts w:ascii="宋体" w:hAnsi="宋体" w:cs="宋体"/>
          <w:color w:val="000000"/>
          <w:sz w:val="24"/>
          <w:shd w:val="clear" w:color="auto" w:fill="FFFFFF"/>
        </w:rPr>
      </w:pPr>
      <w:r>
        <w:rPr>
          <w:rFonts w:hint="eastAsia" w:ascii="宋体" w:hAnsi="宋体" w:cs="宋体"/>
          <w:color w:val="000000"/>
          <w:sz w:val="24"/>
          <w:shd w:val="clear" w:color="auto" w:fill="FFFFFF"/>
        </w:rPr>
        <w:t>通货膨胀理论</w:t>
      </w:r>
    </w:p>
    <w:p w14:paraId="49FD3680">
      <w:pPr>
        <w:widowControl/>
        <w:snapToGrid w:val="0"/>
        <w:spacing w:line="360" w:lineRule="auto"/>
        <w:ind w:firstLine="480"/>
        <w:rPr>
          <w:rFonts w:ascii="宋体" w:hAnsi="宋体" w:cs="宋体"/>
          <w:color w:val="000000"/>
          <w:sz w:val="24"/>
          <w:shd w:val="clear" w:color="auto" w:fill="FFFFFF"/>
        </w:rPr>
      </w:pPr>
      <w:r>
        <w:rPr>
          <w:rFonts w:hint="eastAsia" w:ascii="宋体" w:hAnsi="宋体" w:cs="宋体"/>
          <w:color w:val="000000"/>
          <w:sz w:val="24"/>
          <w:shd w:val="clear" w:color="auto" w:fill="FFFFFF"/>
        </w:rPr>
        <w:t xml:space="preserve">通货膨胀的含义与分类             通货膨胀对经济的影响  </w:t>
      </w:r>
    </w:p>
    <w:p w14:paraId="51032ACE">
      <w:pPr>
        <w:widowControl/>
        <w:snapToGrid w:val="0"/>
        <w:spacing w:line="360" w:lineRule="auto"/>
        <w:ind w:firstLine="480"/>
        <w:rPr>
          <w:rFonts w:ascii="宋体" w:hAnsi="宋体" w:cs="宋体"/>
          <w:color w:val="000000"/>
          <w:sz w:val="24"/>
          <w:shd w:val="clear" w:color="auto" w:fill="FFFFFF"/>
        </w:rPr>
      </w:pPr>
      <w:r>
        <w:rPr>
          <w:rFonts w:hint="eastAsia" w:ascii="宋体" w:hAnsi="宋体" w:cs="宋体"/>
          <w:color w:val="000000"/>
          <w:sz w:val="24"/>
          <w:shd w:val="clear" w:color="auto" w:fill="FFFFFF"/>
        </w:rPr>
        <w:t xml:space="preserve">通货膨胀的原因                   需求拉动的通货膨胀理论    </w:t>
      </w:r>
    </w:p>
    <w:p w14:paraId="632A77A0">
      <w:pPr>
        <w:widowControl/>
        <w:snapToGrid w:val="0"/>
        <w:spacing w:line="360" w:lineRule="auto"/>
        <w:ind w:firstLine="480"/>
        <w:rPr>
          <w:rFonts w:ascii="宋体" w:hAnsi="宋体" w:cs="宋体"/>
          <w:color w:val="000000"/>
          <w:sz w:val="24"/>
          <w:shd w:val="clear" w:color="auto" w:fill="FFFFFF"/>
        </w:rPr>
      </w:pPr>
      <w:r>
        <w:rPr>
          <w:rFonts w:hint="eastAsia" w:ascii="宋体" w:hAnsi="宋体" w:cs="宋体"/>
          <w:color w:val="000000"/>
          <w:sz w:val="24"/>
          <w:shd w:val="clear" w:color="auto" w:fill="FFFFFF"/>
        </w:rPr>
        <w:t>供给推动的通货膨胀理论           其他通货膨胀理论</w:t>
      </w:r>
    </w:p>
    <w:p w14:paraId="61A674B7">
      <w:pPr>
        <w:widowControl/>
        <w:snapToGrid w:val="0"/>
        <w:spacing w:line="360" w:lineRule="auto"/>
        <w:ind w:firstLine="480"/>
        <w:rPr>
          <w:rFonts w:ascii="宋体" w:hAnsi="宋体" w:cs="宋体"/>
          <w:color w:val="000000"/>
          <w:sz w:val="24"/>
          <w:shd w:val="clear" w:color="auto" w:fill="FFFFFF"/>
        </w:rPr>
      </w:pPr>
      <w:r>
        <w:rPr>
          <w:rFonts w:hint="eastAsia" w:ascii="宋体" w:hAnsi="宋体" w:cs="宋体"/>
          <w:color w:val="000000"/>
          <w:sz w:val="24"/>
          <w:shd w:val="clear" w:color="auto" w:fill="FFFFFF"/>
        </w:rPr>
        <w:t>治理通货膨胀的对策</w:t>
      </w:r>
    </w:p>
    <w:p w14:paraId="1DD69CA9">
      <w:pPr>
        <w:widowControl/>
        <w:snapToGrid w:val="0"/>
        <w:spacing w:line="360" w:lineRule="auto"/>
        <w:ind w:firstLine="480"/>
        <w:rPr>
          <w:rFonts w:ascii="宋体" w:hAnsi="宋体" w:cs="宋体"/>
          <w:color w:val="000000"/>
          <w:sz w:val="24"/>
          <w:shd w:val="clear" w:color="auto" w:fill="FFFFFF"/>
        </w:rPr>
      </w:pPr>
      <w:r>
        <w:rPr>
          <w:rFonts w:hint="eastAsia" w:ascii="宋体" w:hAnsi="宋体" w:cs="宋体"/>
          <w:color w:val="000000"/>
          <w:sz w:val="24"/>
          <w:shd w:val="clear" w:color="auto" w:fill="FFFFFF"/>
        </w:rPr>
        <w:t>菲利普斯曲线</w:t>
      </w:r>
    </w:p>
    <w:p w14:paraId="42DA3EC0">
      <w:pPr>
        <w:widowControl/>
        <w:snapToGrid w:val="0"/>
        <w:spacing w:line="360" w:lineRule="auto"/>
        <w:ind w:firstLine="480"/>
        <w:rPr>
          <w:rFonts w:ascii="宋体" w:hAnsi="宋体" w:cs="宋体"/>
          <w:color w:val="000000"/>
          <w:sz w:val="24"/>
          <w:shd w:val="clear" w:color="auto" w:fill="FFFFFF"/>
        </w:rPr>
      </w:pPr>
      <w:r>
        <w:rPr>
          <w:rFonts w:hint="eastAsia" w:ascii="宋体" w:hAnsi="宋体" w:cs="宋体"/>
          <w:color w:val="000000"/>
          <w:sz w:val="24"/>
          <w:shd w:val="clear" w:color="auto" w:fill="FFFFFF"/>
        </w:rPr>
        <w:t>菲利普斯曲线的提出               菲利普斯曲线的的政策含义</w:t>
      </w:r>
    </w:p>
    <w:p w14:paraId="159D69BF">
      <w:pPr>
        <w:widowControl/>
        <w:snapToGrid w:val="0"/>
        <w:spacing w:line="360" w:lineRule="auto"/>
        <w:ind w:firstLine="480"/>
        <w:rPr>
          <w:rFonts w:ascii="宋体" w:hAnsi="宋体" w:cs="宋体"/>
          <w:color w:val="000000"/>
          <w:sz w:val="24"/>
          <w:shd w:val="clear" w:color="auto" w:fill="FFFFFF"/>
        </w:rPr>
      </w:pPr>
      <w:r>
        <w:rPr>
          <w:rFonts w:hint="eastAsia" w:ascii="宋体" w:hAnsi="宋体" w:cs="宋体"/>
          <w:color w:val="000000"/>
          <w:sz w:val="24"/>
          <w:shd w:val="clear" w:color="auto" w:fill="FFFFFF"/>
        </w:rPr>
        <w:t>附加预期的菲利普斯曲线           长期的菲利普斯曲线</w:t>
      </w:r>
    </w:p>
    <w:p w14:paraId="5B07B51A">
      <w:pPr>
        <w:widowControl/>
        <w:snapToGrid w:val="0"/>
        <w:spacing w:line="360" w:lineRule="auto"/>
        <w:ind w:firstLine="480"/>
        <w:rPr>
          <w:rFonts w:ascii="宋体" w:hAnsi="宋体" w:cs="宋体"/>
          <w:color w:val="000000"/>
          <w:sz w:val="24"/>
          <w:shd w:val="clear" w:color="auto" w:fill="FFFFFF"/>
        </w:rPr>
      </w:pPr>
      <w:r>
        <w:rPr>
          <w:rFonts w:hint="eastAsia" w:ascii="宋体" w:hAnsi="宋体" w:cs="宋体"/>
          <w:color w:val="000000"/>
          <w:sz w:val="24"/>
          <w:shd w:val="clear" w:color="auto" w:fill="FFFFFF"/>
        </w:rPr>
        <w:t>六、经济增长与经济周期理论</w:t>
      </w:r>
    </w:p>
    <w:p w14:paraId="7F467F64">
      <w:pPr>
        <w:widowControl/>
        <w:snapToGrid w:val="0"/>
        <w:spacing w:line="360" w:lineRule="auto"/>
        <w:ind w:firstLine="480"/>
        <w:rPr>
          <w:rFonts w:ascii="宋体" w:hAnsi="宋体" w:cs="宋体"/>
          <w:color w:val="000000"/>
          <w:sz w:val="24"/>
          <w:shd w:val="clear" w:color="auto" w:fill="FFFFFF"/>
        </w:rPr>
      </w:pPr>
      <w:r>
        <w:rPr>
          <w:rFonts w:hint="eastAsia" w:ascii="宋体" w:hAnsi="宋体" w:cs="宋体"/>
          <w:color w:val="000000"/>
          <w:sz w:val="24"/>
          <w:shd w:val="clear" w:color="auto" w:fill="FFFFFF"/>
        </w:rPr>
        <w:t>经济增长理论</w:t>
      </w:r>
    </w:p>
    <w:p w14:paraId="43F96FBF">
      <w:pPr>
        <w:widowControl/>
        <w:tabs>
          <w:tab w:val="left" w:pos="420"/>
        </w:tabs>
        <w:snapToGrid w:val="0"/>
        <w:spacing w:line="360" w:lineRule="auto"/>
        <w:ind w:firstLine="480"/>
        <w:rPr>
          <w:rFonts w:ascii="宋体" w:hAnsi="宋体" w:cs="宋体"/>
          <w:color w:val="000000"/>
          <w:sz w:val="24"/>
          <w:shd w:val="clear" w:color="auto" w:fill="FFFFFF"/>
        </w:rPr>
      </w:pPr>
      <w:r>
        <w:rPr>
          <w:rFonts w:hint="eastAsia" w:ascii="宋体" w:hAnsi="宋体" w:cs="宋体"/>
          <w:color w:val="000000"/>
          <w:sz w:val="24"/>
          <w:shd w:val="clear" w:color="auto" w:fill="FFFFFF"/>
        </w:rPr>
        <w:t xml:space="preserve">经济增长与经济发展               影响经济增长因素 </w:t>
      </w:r>
    </w:p>
    <w:p w14:paraId="4AE1954C">
      <w:pPr>
        <w:widowControl/>
        <w:snapToGrid w:val="0"/>
        <w:spacing w:line="360" w:lineRule="auto"/>
        <w:ind w:firstLine="480"/>
        <w:rPr>
          <w:rFonts w:ascii="宋体" w:hAnsi="宋体" w:cs="宋体"/>
          <w:color w:val="000000"/>
          <w:sz w:val="24"/>
          <w:shd w:val="clear" w:color="auto" w:fill="FFFFFF"/>
        </w:rPr>
      </w:pPr>
      <w:r>
        <w:rPr>
          <w:rFonts w:hint="eastAsia" w:ascii="宋体" w:hAnsi="宋体" w:cs="宋体"/>
          <w:color w:val="000000"/>
          <w:sz w:val="24"/>
          <w:shd w:val="clear" w:color="auto" w:fill="FFFFFF"/>
        </w:rPr>
        <w:t xml:space="preserve">   古典增长理论模型                  内生增长理论</w:t>
      </w:r>
    </w:p>
    <w:p w14:paraId="359F08F6">
      <w:pPr>
        <w:widowControl/>
        <w:snapToGrid w:val="0"/>
        <w:spacing w:line="360" w:lineRule="auto"/>
        <w:ind w:firstLine="480"/>
        <w:rPr>
          <w:rFonts w:ascii="宋体" w:hAnsi="宋体" w:cs="宋体"/>
          <w:color w:val="000000"/>
          <w:sz w:val="24"/>
          <w:shd w:val="clear" w:color="auto" w:fill="FFFFFF"/>
        </w:rPr>
      </w:pPr>
      <w:r>
        <w:rPr>
          <w:rFonts w:hint="eastAsia" w:ascii="宋体" w:hAnsi="宋体" w:cs="宋体"/>
          <w:color w:val="000000"/>
          <w:sz w:val="24"/>
          <w:shd w:val="clear" w:color="auto" w:fill="FFFFFF"/>
        </w:rPr>
        <w:t xml:space="preserve">   促进经济增长的政策</w:t>
      </w:r>
    </w:p>
    <w:p w14:paraId="1AAC46CC">
      <w:pPr>
        <w:widowControl/>
        <w:snapToGrid w:val="0"/>
        <w:spacing w:line="360" w:lineRule="auto"/>
        <w:ind w:firstLine="480"/>
        <w:rPr>
          <w:rFonts w:ascii="宋体" w:hAnsi="宋体" w:cs="宋体"/>
          <w:color w:val="000000"/>
          <w:sz w:val="24"/>
          <w:shd w:val="clear" w:color="auto" w:fill="FFFFFF"/>
        </w:rPr>
      </w:pPr>
      <w:r>
        <w:rPr>
          <w:rFonts w:hint="eastAsia" w:ascii="宋体" w:hAnsi="宋体" w:cs="宋体"/>
          <w:color w:val="000000"/>
          <w:sz w:val="24"/>
          <w:shd w:val="clear" w:color="auto" w:fill="FFFFFF"/>
        </w:rPr>
        <w:t>经济周期的含义与特征</w:t>
      </w:r>
    </w:p>
    <w:p w14:paraId="0B0716CE">
      <w:pPr>
        <w:widowControl/>
        <w:snapToGrid w:val="0"/>
        <w:spacing w:line="360" w:lineRule="auto"/>
        <w:ind w:firstLine="480"/>
        <w:rPr>
          <w:rFonts w:ascii="宋体" w:hAnsi="宋体" w:cs="宋体"/>
          <w:color w:val="000000"/>
          <w:sz w:val="24"/>
          <w:shd w:val="clear" w:color="auto" w:fill="FFFFFF"/>
        </w:rPr>
      </w:pPr>
      <w:r>
        <w:rPr>
          <w:rFonts w:hint="eastAsia" w:ascii="宋体" w:hAnsi="宋体" w:cs="宋体"/>
          <w:color w:val="000000"/>
          <w:sz w:val="24"/>
          <w:shd w:val="clear" w:color="auto" w:fill="FFFFFF"/>
        </w:rPr>
        <w:t>乘数—加速数模型基本思想</w:t>
      </w:r>
    </w:p>
    <w:p w14:paraId="6D8B440B">
      <w:pPr>
        <w:widowControl/>
        <w:snapToGrid w:val="0"/>
        <w:spacing w:line="360" w:lineRule="auto"/>
        <w:ind w:firstLine="480"/>
        <w:rPr>
          <w:rFonts w:ascii="宋体" w:hAnsi="宋体" w:cs="宋体"/>
          <w:color w:val="000000"/>
          <w:sz w:val="24"/>
          <w:shd w:val="clear" w:color="auto" w:fill="FFFFFF"/>
        </w:rPr>
      </w:pPr>
      <w:r>
        <w:rPr>
          <w:rFonts w:hint="eastAsia" w:ascii="宋体" w:hAnsi="宋体" w:cs="宋体"/>
          <w:color w:val="000000"/>
          <w:sz w:val="24"/>
          <w:shd w:val="clear" w:color="auto" w:fill="FFFFFF"/>
        </w:rPr>
        <w:t>七、国际经济理论</w:t>
      </w:r>
    </w:p>
    <w:p w14:paraId="210C6487">
      <w:pPr>
        <w:widowControl/>
        <w:snapToGrid w:val="0"/>
        <w:spacing w:line="360" w:lineRule="auto"/>
        <w:ind w:firstLine="480"/>
        <w:rPr>
          <w:rFonts w:ascii="宋体" w:hAnsi="宋体" w:cs="宋体"/>
          <w:color w:val="000000"/>
          <w:sz w:val="24"/>
          <w:shd w:val="clear" w:color="auto" w:fill="FFFFFF"/>
        </w:rPr>
      </w:pPr>
      <w:r>
        <w:rPr>
          <w:rFonts w:hint="eastAsia" w:ascii="宋体" w:hAnsi="宋体" w:cs="宋体"/>
          <w:color w:val="000000"/>
          <w:sz w:val="24"/>
          <w:shd w:val="clear" w:color="auto" w:fill="FFFFFF"/>
        </w:rPr>
        <w:t>国际贸易理论的发展</w:t>
      </w:r>
    </w:p>
    <w:p w14:paraId="69CBD197">
      <w:pPr>
        <w:widowControl/>
        <w:snapToGrid w:val="0"/>
        <w:spacing w:line="360" w:lineRule="auto"/>
        <w:ind w:firstLine="480"/>
        <w:rPr>
          <w:rFonts w:ascii="宋体" w:hAnsi="宋体" w:cs="宋体"/>
          <w:color w:val="000000"/>
          <w:sz w:val="24"/>
          <w:shd w:val="clear" w:color="auto" w:fill="FFFFFF"/>
        </w:rPr>
      </w:pPr>
      <w:r>
        <w:rPr>
          <w:rFonts w:hint="eastAsia" w:ascii="宋体" w:hAnsi="宋体" w:cs="宋体"/>
          <w:color w:val="000000"/>
          <w:sz w:val="24"/>
          <w:shd w:val="clear" w:color="auto" w:fill="FFFFFF"/>
        </w:rPr>
        <w:t>绝对优势理论                     比较优势理论</w:t>
      </w:r>
    </w:p>
    <w:p w14:paraId="614037BE">
      <w:pPr>
        <w:widowControl/>
        <w:snapToGrid w:val="0"/>
        <w:spacing w:line="360" w:lineRule="auto"/>
        <w:ind w:firstLine="480"/>
        <w:rPr>
          <w:rFonts w:ascii="宋体" w:hAnsi="宋体" w:cs="宋体"/>
          <w:color w:val="000000"/>
          <w:sz w:val="24"/>
          <w:shd w:val="clear" w:color="auto" w:fill="FFFFFF"/>
        </w:rPr>
      </w:pPr>
      <w:r>
        <w:rPr>
          <w:rFonts w:hint="eastAsia" w:ascii="宋体" w:hAnsi="宋体" w:cs="宋体"/>
          <w:color w:val="000000"/>
          <w:sz w:val="24"/>
          <w:shd w:val="clear" w:color="auto" w:fill="FFFFFF"/>
        </w:rPr>
        <w:t>赫克歇尔—俄林理论               规模经济理论</w:t>
      </w:r>
    </w:p>
    <w:p w14:paraId="33BD7FD4">
      <w:pPr>
        <w:widowControl/>
        <w:snapToGrid w:val="0"/>
        <w:spacing w:line="360" w:lineRule="auto"/>
        <w:ind w:firstLine="480"/>
        <w:rPr>
          <w:rFonts w:ascii="宋体" w:hAnsi="宋体" w:cs="宋体"/>
          <w:color w:val="000000"/>
          <w:sz w:val="24"/>
          <w:shd w:val="clear" w:color="auto" w:fill="FFFFFF"/>
        </w:rPr>
      </w:pPr>
      <w:r>
        <w:rPr>
          <w:rFonts w:hint="eastAsia" w:ascii="宋体" w:hAnsi="宋体" w:cs="宋体"/>
          <w:color w:val="000000"/>
          <w:sz w:val="24"/>
          <w:shd w:val="clear" w:color="auto" w:fill="FFFFFF"/>
        </w:rPr>
        <w:t>国际金融体系</w:t>
      </w:r>
    </w:p>
    <w:p w14:paraId="740DCC1F">
      <w:pPr>
        <w:widowControl/>
        <w:snapToGrid w:val="0"/>
        <w:spacing w:line="360" w:lineRule="auto"/>
        <w:ind w:firstLine="480"/>
        <w:rPr>
          <w:rFonts w:ascii="宋体" w:hAnsi="宋体" w:cs="宋体"/>
          <w:color w:val="000000"/>
          <w:sz w:val="24"/>
          <w:shd w:val="clear" w:color="auto" w:fill="FFFFFF"/>
        </w:rPr>
      </w:pPr>
      <w:r>
        <w:rPr>
          <w:rFonts w:hint="eastAsia" w:ascii="宋体" w:hAnsi="宋体" w:cs="宋体"/>
          <w:color w:val="000000"/>
          <w:sz w:val="24"/>
          <w:shd w:val="clear" w:color="auto" w:fill="FFFFFF"/>
        </w:rPr>
        <w:t>金本位制                        布雷顿森林体系和国际货币基金组织</w:t>
      </w:r>
    </w:p>
    <w:p w14:paraId="133F0BB5">
      <w:pPr>
        <w:widowControl/>
        <w:tabs>
          <w:tab w:val="left" w:pos="0"/>
          <w:tab w:val="left" w:pos="420"/>
        </w:tabs>
        <w:snapToGrid w:val="0"/>
        <w:spacing w:line="360" w:lineRule="auto"/>
        <w:ind w:firstLine="480"/>
        <w:rPr>
          <w:rFonts w:ascii="宋体" w:hAnsi="宋体" w:cs="宋体"/>
          <w:color w:val="000000"/>
          <w:sz w:val="24"/>
          <w:shd w:val="clear" w:color="auto" w:fill="FFFFFF"/>
        </w:rPr>
      </w:pPr>
      <w:r>
        <w:rPr>
          <w:rFonts w:hint="eastAsia" w:ascii="宋体" w:hAnsi="宋体" w:cs="宋体"/>
          <w:color w:val="000000"/>
          <w:sz w:val="24"/>
          <w:shd w:val="clear" w:color="auto" w:fill="FFFFFF"/>
        </w:rPr>
        <w:t>汇率和对外贸易</w:t>
      </w:r>
    </w:p>
    <w:p w14:paraId="57CF857C">
      <w:pPr>
        <w:widowControl/>
        <w:snapToGrid w:val="0"/>
        <w:spacing w:line="360" w:lineRule="auto"/>
        <w:ind w:firstLine="480"/>
        <w:rPr>
          <w:rFonts w:ascii="宋体" w:hAnsi="宋体" w:cs="宋体"/>
          <w:color w:val="000000"/>
          <w:sz w:val="24"/>
          <w:shd w:val="clear" w:color="auto" w:fill="FFFFFF"/>
        </w:rPr>
      </w:pPr>
      <w:r>
        <w:rPr>
          <w:rFonts w:hint="eastAsia" w:ascii="宋体" w:hAnsi="宋体" w:cs="宋体"/>
          <w:color w:val="000000"/>
          <w:sz w:val="24"/>
          <w:shd w:val="clear" w:color="auto" w:fill="FFFFFF"/>
        </w:rPr>
        <w:t xml:space="preserve">汇率及其标价                    汇率制度     </w:t>
      </w:r>
    </w:p>
    <w:p w14:paraId="3F7FB9AF">
      <w:pPr>
        <w:widowControl/>
        <w:snapToGrid w:val="0"/>
        <w:spacing w:line="360" w:lineRule="auto"/>
        <w:ind w:firstLine="480"/>
        <w:rPr>
          <w:rFonts w:ascii="宋体" w:hAnsi="宋体" w:cs="宋体"/>
          <w:color w:val="000000"/>
          <w:sz w:val="24"/>
          <w:shd w:val="clear" w:color="auto" w:fill="FFFFFF"/>
        </w:rPr>
      </w:pPr>
      <w:r>
        <w:rPr>
          <w:rFonts w:hint="eastAsia" w:ascii="宋体" w:hAnsi="宋体" w:cs="宋体"/>
          <w:color w:val="000000"/>
          <w:sz w:val="24"/>
          <w:shd w:val="clear" w:color="auto" w:fill="FFFFFF"/>
        </w:rPr>
        <w:t>自由浮动制度下汇率的决定        购买力平价理论     实际汇率</w:t>
      </w:r>
    </w:p>
    <w:p w14:paraId="25BCC34A">
      <w:pPr>
        <w:widowControl/>
        <w:snapToGrid w:val="0"/>
        <w:spacing w:line="360" w:lineRule="auto"/>
        <w:rPr>
          <w:rFonts w:ascii="宋体" w:hAnsi="宋体" w:cs="宋体"/>
          <w:color w:val="000000"/>
          <w:sz w:val="24"/>
          <w:shd w:val="clear" w:color="auto" w:fill="FFFFFF"/>
        </w:rPr>
      </w:pPr>
    </w:p>
    <w:p w14:paraId="0070483E">
      <w:pPr>
        <w:widowControl/>
        <w:snapToGrid w:val="0"/>
        <w:jc w:val="center"/>
        <w:rPr>
          <w:rFonts w:ascii="黑体" w:hAnsi="仿宋_GB2312" w:eastAsia="黑体" w:cs="仿宋_GB2312"/>
          <w:b/>
          <w:bCs/>
          <w:kern w:val="0"/>
          <w:sz w:val="36"/>
          <w:szCs w:val="36"/>
        </w:rPr>
      </w:pPr>
      <w:r>
        <w:rPr>
          <w:rFonts w:hint="eastAsia" w:ascii="黑体" w:hAnsi="仿宋_GB2312" w:eastAsia="黑体" w:cs="仿宋_GB2312"/>
          <w:b/>
          <w:bCs/>
          <w:kern w:val="0"/>
          <w:sz w:val="36"/>
          <w:szCs w:val="36"/>
        </w:rPr>
        <w:t>《财政学》</w:t>
      </w:r>
    </w:p>
    <w:p w14:paraId="0F17EAF7">
      <w:pPr>
        <w:adjustRightInd w:val="0"/>
        <w:snapToGrid w:val="0"/>
        <w:spacing w:line="360" w:lineRule="auto"/>
        <w:jc w:val="left"/>
        <w:rPr>
          <w:rFonts w:ascii="宋体" w:hAnsi="宋体"/>
          <w:b/>
          <w:sz w:val="24"/>
        </w:rPr>
      </w:pPr>
      <w:r>
        <w:rPr>
          <w:rFonts w:hint="eastAsia" w:ascii="宋体" w:hAnsi="宋体"/>
          <w:b/>
          <w:sz w:val="24"/>
        </w:rPr>
        <w:t>《财政学》考试大纲概述：</w:t>
      </w:r>
    </w:p>
    <w:p w14:paraId="0FDDB585">
      <w:pPr>
        <w:adjustRightInd w:val="0"/>
        <w:snapToGrid w:val="0"/>
        <w:spacing w:line="360" w:lineRule="auto"/>
        <w:ind w:firstLine="600" w:firstLineChars="250"/>
        <w:jc w:val="left"/>
        <w:rPr>
          <w:rFonts w:ascii="宋体" w:hAnsi="宋体"/>
          <w:sz w:val="24"/>
        </w:rPr>
      </w:pPr>
      <w:r>
        <w:rPr>
          <w:rFonts w:hint="eastAsia" w:ascii="宋体" w:hAnsi="宋体"/>
          <w:sz w:val="24"/>
        </w:rPr>
        <w:t>本课程考试要求学生了解和掌握财政学的基本理论和基本知识，具体包括财政概念与职能、财政支出基本理论和具体内容、财政收入基本理论、税收理论、国债理论，财政管理及平衡、财政政策等。要求学生能够运用所学理论、知识和方法解决财政领域中的相关问题，为以后的专业学习、理论研究和实际工作奠定坚实的基础。</w:t>
      </w:r>
    </w:p>
    <w:p w14:paraId="51DC055A">
      <w:pPr>
        <w:adjustRightInd w:val="0"/>
        <w:snapToGrid w:val="0"/>
        <w:spacing w:line="360" w:lineRule="auto"/>
        <w:rPr>
          <w:rFonts w:ascii="宋体" w:hAnsi="宋体"/>
          <w:sz w:val="24"/>
        </w:rPr>
      </w:pPr>
      <w:r>
        <w:rPr>
          <w:rFonts w:hint="eastAsia" w:ascii="宋体" w:hAnsi="宋体"/>
          <w:sz w:val="24"/>
        </w:rPr>
        <w:t>一、财政概念和财政职能</w:t>
      </w:r>
    </w:p>
    <w:p w14:paraId="732C3C98">
      <w:pPr>
        <w:numPr>
          <w:ilvl w:val="0"/>
          <w:numId w:val="1"/>
        </w:numPr>
        <w:adjustRightInd w:val="0"/>
        <w:snapToGrid w:val="0"/>
        <w:spacing w:line="360" w:lineRule="auto"/>
        <w:rPr>
          <w:rFonts w:ascii="宋体" w:hAnsi="宋体"/>
          <w:sz w:val="24"/>
        </w:rPr>
      </w:pPr>
      <w:r>
        <w:rPr>
          <w:rFonts w:hint="eastAsia" w:ascii="宋体" w:hAnsi="宋体"/>
          <w:sz w:val="24"/>
        </w:rPr>
        <w:t>政府与市场</w:t>
      </w:r>
    </w:p>
    <w:p w14:paraId="12A591E4">
      <w:pPr>
        <w:numPr>
          <w:ilvl w:val="0"/>
          <w:numId w:val="1"/>
        </w:numPr>
        <w:adjustRightInd w:val="0"/>
        <w:snapToGrid w:val="0"/>
        <w:spacing w:line="360" w:lineRule="auto"/>
        <w:rPr>
          <w:rFonts w:ascii="宋体" w:hAnsi="宋体"/>
          <w:sz w:val="24"/>
        </w:rPr>
      </w:pPr>
      <w:r>
        <w:rPr>
          <w:rFonts w:hint="eastAsia" w:ascii="宋体" w:hAnsi="宋体"/>
          <w:sz w:val="24"/>
        </w:rPr>
        <w:t>财政概念</w:t>
      </w:r>
    </w:p>
    <w:p w14:paraId="5B656402">
      <w:pPr>
        <w:numPr>
          <w:ilvl w:val="0"/>
          <w:numId w:val="1"/>
        </w:numPr>
        <w:adjustRightInd w:val="0"/>
        <w:snapToGrid w:val="0"/>
        <w:spacing w:line="360" w:lineRule="auto"/>
        <w:rPr>
          <w:rFonts w:ascii="宋体" w:hAnsi="宋体"/>
          <w:sz w:val="24"/>
        </w:rPr>
      </w:pPr>
      <w:r>
        <w:rPr>
          <w:rFonts w:hint="eastAsia" w:ascii="宋体" w:hAnsi="宋体"/>
          <w:sz w:val="24"/>
        </w:rPr>
        <w:t>财政职能</w:t>
      </w:r>
    </w:p>
    <w:p w14:paraId="1C977334">
      <w:pPr>
        <w:adjustRightInd w:val="0"/>
        <w:snapToGrid w:val="0"/>
        <w:spacing w:line="360" w:lineRule="auto"/>
        <w:rPr>
          <w:rFonts w:ascii="宋体" w:hAnsi="宋体"/>
          <w:sz w:val="24"/>
        </w:rPr>
      </w:pPr>
    </w:p>
    <w:p w14:paraId="25E09272">
      <w:pPr>
        <w:adjustRightInd w:val="0"/>
        <w:snapToGrid w:val="0"/>
        <w:spacing w:line="360" w:lineRule="auto"/>
        <w:rPr>
          <w:rFonts w:ascii="宋体" w:hAnsi="宋体"/>
          <w:sz w:val="24"/>
        </w:rPr>
      </w:pPr>
      <w:r>
        <w:rPr>
          <w:rFonts w:hint="eastAsia" w:ascii="宋体" w:hAnsi="宋体"/>
          <w:sz w:val="24"/>
        </w:rPr>
        <w:t>二、财政支出的基本理论</w:t>
      </w:r>
    </w:p>
    <w:p w14:paraId="78A18DA0">
      <w:pPr>
        <w:numPr>
          <w:ilvl w:val="0"/>
          <w:numId w:val="2"/>
        </w:numPr>
        <w:adjustRightInd w:val="0"/>
        <w:snapToGrid w:val="0"/>
        <w:spacing w:line="360" w:lineRule="auto"/>
        <w:rPr>
          <w:rFonts w:ascii="宋体" w:hAnsi="宋体"/>
          <w:sz w:val="24"/>
        </w:rPr>
      </w:pPr>
      <w:r>
        <w:rPr>
          <w:rFonts w:hint="eastAsia" w:ascii="宋体" w:hAnsi="宋体"/>
          <w:sz w:val="24"/>
        </w:rPr>
        <w:t>公共物品的提供、生产和定价</w:t>
      </w:r>
    </w:p>
    <w:p w14:paraId="4281B61B">
      <w:pPr>
        <w:numPr>
          <w:ilvl w:val="0"/>
          <w:numId w:val="2"/>
        </w:numPr>
        <w:adjustRightInd w:val="0"/>
        <w:snapToGrid w:val="0"/>
        <w:spacing w:line="360" w:lineRule="auto"/>
        <w:rPr>
          <w:rFonts w:ascii="宋体" w:hAnsi="宋体"/>
          <w:sz w:val="24"/>
        </w:rPr>
      </w:pPr>
      <w:r>
        <w:rPr>
          <w:rFonts w:hint="eastAsia" w:ascii="宋体" w:hAnsi="宋体"/>
          <w:sz w:val="24"/>
        </w:rPr>
        <w:t>财政支出效益的分析和评价</w:t>
      </w:r>
    </w:p>
    <w:p w14:paraId="0F909E66">
      <w:pPr>
        <w:numPr>
          <w:ilvl w:val="0"/>
          <w:numId w:val="2"/>
        </w:numPr>
        <w:adjustRightInd w:val="0"/>
        <w:snapToGrid w:val="0"/>
        <w:spacing w:line="360" w:lineRule="auto"/>
        <w:rPr>
          <w:rFonts w:ascii="宋体" w:hAnsi="宋体"/>
          <w:sz w:val="24"/>
        </w:rPr>
      </w:pPr>
      <w:r>
        <w:rPr>
          <w:rFonts w:hint="eastAsia" w:ascii="宋体" w:hAnsi="宋体"/>
          <w:sz w:val="24"/>
        </w:rPr>
        <w:t>财政的法制化、民主化和财政监督</w:t>
      </w:r>
    </w:p>
    <w:p w14:paraId="1126A437">
      <w:pPr>
        <w:adjustRightInd w:val="0"/>
        <w:snapToGrid w:val="0"/>
        <w:spacing w:line="360" w:lineRule="auto"/>
        <w:rPr>
          <w:rFonts w:ascii="宋体" w:hAnsi="宋体"/>
          <w:sz w:val="24"/>
        </w:rPr>
      </w:pPr>
    </w:p>
    <w:p w14:paraId="4AC658C6">
      <w:pPr>
        <w:adjustRightInd w:val="0"/>
        <w:snapToGrid w:val="0"/>
        <w:spacing w:line="360" w:lineRule="auto"/>
        <w:rPr>
          <w:rFonts w:ascii="宋体" w:hAnsi="宋体"/>
          <w:sz w:val="24"/>
        </w:rPr>
      </w:pPr>
      <w:r>
        <w:rPr>
          <w:rFonts w:hint="eastAsia" w:ascii="宋体" w:hAnsi="宋体"/>
          <w:sz w:val="24"/>
        </w:rPr>
        <w:t>三、 财政支出规模与结构分析</w:t>
      </w:r>
    </w:p>
    <w:p w14:paraId="45417936">
      <w:pPr>
        <w:numPr>
          <w:ilvl w:val="0"/>
          <w:numId w:val="3"/>
        </w:numPr>
        <w:adjustRightInd w:val="0"/>
        <w:snapToGrid w:val="0"/>
        <w:spacing w:line="360" w:lineRule="auto"/>
        <w:rPr>
          <w:rFonts w:ascii="宋体" w:hAnsi="宋体"/>
          <w:sz w:val="24"/>
        </w:rPr>
      </w:pPr>
      <w:r>
        <w:rPr>
          <w:rFonts w:hint="eastAsia" w:ascii="宋体" w:hAnsi="宋体"/>
          <w:sz w:val="24"/>
        </w:rPr>
        <w:t>财政支出分类</w:t>
      </w:r>
    </w:p>
    <w:p w14:paraId="21A5DE1F">
      <w:pPr>
        <w:numPr>
          <w:ilvl w:val="0"/>
          <w:numId w:val="3"/>
        </w:numPr>
        <w:adjustRightInd w:val="0"/>
        <w:snapToGrid w:val="0"/>
        <w:spacing w:line="360" w:lineRule="auto"/>
        <w:rPr>
          <w:rFonts w:ascii="宋体" w:hAnsi="宋体"/>
          <w:sz w:val="24"/>
        </w:rPr>
      </w:pPr>
      <w:r>
        <w:rPr>
          <w:rFonts w:hint="eastAsia" w:ascii="宋体" w:hAnsi="宋体"/>
          <w:sz w:val="24"/>
        </w:rPr>
        <w:t>财政支出规模分析</w:t>
      </w:r>
    </w:p>
    <w:p w14:paraId="16D5F287">
      <w:pPr>
        <w:numPr>
          <w:ilvl w:val="0"/>
          <w:numId w:val="3"/>
        </w:numPr>
        <w:adjustRightInd w:val="0"/>
        <w:snapToGrid w:val="0"/>
        <w:spacing w:line="360" w:lineRule="auto"/>
        <w:rPr>
          <w:rFonts w:ascii="宋体" w:hAnsi="宋体"/>
          <w:sz w:val="24"/>
        </w:rPr>
      </w:pPr>
      <w:r>
        <w:rPr>
          <w:rFonts w:hint="eastAsia" w:ascii="宋体" w:hAnsi="宋体"/>
          <w:sz w:val="24"/>
        </w:rPr>
        <w:t>财政支出结构分析</w:t>
      </w:r>
    </w:p>
    <w:p w14:paraId="4701F428">
      <w:pPr>
        <w:adjustRightInd w:val="0"/>
        <w:snapToGrid w:val="0"/>
        <w:spacing w:line="360" w:lineRule="auto"/>
        <w:rPr>
          <w:rFonts w:ascii="宋体" w:hAnsi="宋体"/>
          <w:sz w:val="24"/>
        </w:rPr>
      </w:pPr>
    </w:p>
    <w:p w14:paraId="28FE838A">
      <w:pPr>
        <w:adjustRightInd w:val="0"/>
        <w:snapToGrid w:val="0"/>
        <w:spacing w:line="360" w:lineRule="auto"/>
        <w:rPr>
          <w:rFonts w:ascii="宋体" w:hAnsi="宋体"/>
          <w:sz w:val="24"/>
        </w:rPr>
      </w:pPr>
      <w:r>
        <w:rPr>
          <w:rFonts w:hint="eastAsia" w:ascii="宋体" w:hAnsi="宋体"/>
          <w:sz w:val="24"/>
        </w:rPr>
        <w:t>四、社会消费性支出——购买性支出之一</w:t>
      </w:r>
    </w:p>
    <w:p w14:paraId="3F5A4E6B">
      <w:pPr>
        <w:numPr>
          <w:ilvl w:val="0"/>
          <w:numId w:val="4"/>
        </w:numPr>
        <w:adjustRightInd w:val="0"/>
        <w:snapToGrid w:val="0"/>
        <w:spacing w:line="360" w:lineRule="auto"/>
        <w:rPr>
          <w:rFonts w:ascii="宋体" w:hAnsi="宋体"/>
          <w:sz w:val="24"/>
        </w:rPr>
      </w:pPr>
      <w:r>
        <w:rPr>
          <w:rFonts w:hint="eastAsia" w:ascii="宋体" w:hAnsi="宋体"/>
          <w:sz w:val="24"/>
        </w:rPr>
        <w:t>社会消费性支出的性质</w:t>
      </w:r>
    </w:p>
    <w:p w14:paraId="7BA44081">
      <w:pPr>
        <w:numPr>
          <w:ilvl w:val="0"/>
          <w:numId w:val="4"/>
        </w:numPr>
        <w:adjustRightInd w:val="0"/>
        <w:snapToGrid w:val="0"/>
        <w:spacing w:line="360" w:lineRule="auto"/>
        <w:rPr>
          <w:rFonts w:ascii="宋体" w:hAnsi="宋体"/>
          <w:sz w:val="24"/>
        </w:rPr>
      </w:pPr>
      <w:r>
        <w:rPr>
          <w:rFonts w:hint="eastAsia" w:ascii="宋体" w:hAnsi="宋体"/>
          <w:sz w:val="24"/>
        </w:rPr>
        <w:t>行政管理费和国防费</w:t>
      </w:r>
    </w:p>
    <w:p w14:paraId="3BC1414A">
      <w:pPr>
        <w:numPr>
          <w:ilvl w:val="0"/>
          <w:numId w:val="4"/>
        </w:numPr>
        <w:adjustRightInd w:val="0"/>
        <w:snapToGrid w:val="0"/>
        <w:spacing w:line="360" w:lineRule="auto"/>
        <w:rPr>
          <w:rFonts w:ascii="宋体" w:hAnsi="宋体"/>
          <w:sz w:val="24"/>
        </w:rPr>
      </w:pPr>
      <w:r>
        <w:rPr>
          <w:rFonts w:hint="eastAsia" w:ascii="宋体" w:hAnsi="宋体"/>
          <w:sz w:val="24"/>
        </w:rPr>
        <w:t>文科卫支出</w:t>
      </w:r>
    </w:p>
    <w:p w14:paraId="178504E5">
      <w:pPr>
        <w:adjustRightInd w:val="0"/>
        <w:snapToGrid w:val="0"/>
        <w:spacing w:line="360" w:lineRule="auto"/>
        <w:rPr>
          <w:rFonts w:ascii="宋体" w:hAnsi="宋体"/>
          <w:sz w:val="24"/>
        </w:rPr>
      </w:pPr>
    </w:p>
    <w:p w14:paraId="1DF7F37E">
      <w:pPr>
        <w:adjustRightInd w:val="0"/>
        <w:snapToGrid w:val="0"/>
        <w:spacing w:line="360" w:lineRule="auto"/>
        <w:rPr>
          <w:rFonts w:ascii="宋体" w:hAnsi="宋体"/>
          <w:sz w:val="24"/>
        </w:rPr>
      </w:pPr>
      <w:r>
        <w:rPr>
          <w:rFonts w:hint="eastAsia" w:ascii="宋体" w:hAnsi="宋体"/>
          <w:sz w:val="24"/>
        </w:rPr>
        <w:t>五、财政投资性支出——购买性支出之二</w:t>
      </w:r>
    </w:p>
    <w:p w14:paraId="321DA9D0">
      <w:pPr>
        <w:numPr>
          <w:ilvl w:val="0"/>
          <w:numId w:val="4"/>
        </w:numPr>
        <w:adjustRightInd w:val="0"/>
        <w:snapToGrid w:val="0"/>
        <w:spacing w:line="360" w:lineRule="auto"/>
        <w:rPr>
          <w:rFonts w:ascii="宋体" w:hAnsi="宋体"/>
          <w:sz w:val="24"/>
        </w:rPr>
      </w:pPr>
      <w:r>
        <w:rPr>
          <w:rFonts w:hint="eastAsia" w:ascii="宋体" w:hAnsi="宋体"/>
          <w:sz w:val="24"/>
        </w:rPr>
        <w:t>财政投资性支出的一般分析</w:t>
      </w:r>
    </w:p>
    <w:p w14:paraId="409C52F7">
      <w:pPr>
        <w:numPr>
          <w:ilvl w:val="0"/>
          <w:numId w:val="4"/>
        </w:numPr>
        <w:adjustRightInd w:val="0"/>
        <w:snapToGrid w:val="0"/>
        <w:spacing w:line="360" w:lineRule="auto"/>
        <w:rPr>
          <w:rFonts w:ascii="宋体" w:hAnsi="宋体"/>
          <w:sz w:val="24"/>
        </w:rPr>
      </w:pPr>
      <w:r>
        <w:rPr>
          <w:rFonts w:hint="eastAsia" w:ascii="宋体" w:hAnsi="宋体"/>
          <w:sz w:val="24"/>
        </w:rPr>
        <w:t>基础设施投资</w:t>
      </w:r>
    </w:p>
    <w:p w14:paraId="60000AF8">
      <w:pPr>
        <w:numPr>
          <w:ilvl w:val="0"/>
          <w:numId w:val="4"/>
        </w:numPr>
        <w:adjustRightInd w:val="0"/>
        <w:snapToGrid w:val="0"/>
        <w:spacing w:line="360" w:lineRule="auto"/>
        <w:rPr>
          <w:rFonts w:ascii="宋体" w:hAnsi="宋体"/>
          <w:sz w:val="24"/>
        </w:rPr>
      </w:pPr>
      <w:r>
        <w:rPr>
          <w:rFonts w:hint="eastAsia" w:ascii="宋体" w:hAnsi="宋体"/>
          <w:sz w:val="24"/>
        </w:rPr>
        <w:t>财政用于“三农”的投人</w:t>
      </w:r>
    </w:p>
    <w:p w14:paraId="51055F09">
      <w:pPr>
        <w:numPr>
          <w:ilvl w:val="0"/>
          <w:numId w:val="4"/>
        </w:numPr>
        <w:adjustRightInd w:val="0"/>
        <w:snapToGrid w:val="0"/>
        <w:spacing w:line="360" w:lineRule="auto"/>
        <w:rPr>
          <w:rFonts w:ascii="宋体" w:hAnsi="宋体"/>
          <w:sz w:val="24"/>
        </w:rPr>
      </w:pPr>
      <w:r>
        <w:rPr>
          <w:rFonts w:hint="eastAsia" w:ascii="宋体" w:hAnsi="宋体"/>
          <w:sz w:val="24"/>
        </w:rPr>
        <w:t>财政投融资制度</w:t>
      </w:r>
    </w:p>
    <w:p w14:paraId="7435BF53">
      <w:pPr>
        <w:adjustRightInd w:val="0"/>
        <w:snapToGrid w:val="0"/>
        <w:spacing w:line="360" w:lineRule="auto"/>
        <w:rPr>
          <w:rFonts w:ascii="宋体" w:hAnsi="宋体"/>
          <w:sz w:val="24"/>
        </w:rPr>
      </w:pPr>
    </w:p>
    <w:p w14:paraId="0EB4BB9B">
      <w:pPr>
        <w:adjustRightInd w:val="0"/>
        <w:snapToGrid w:val="0"/>
        <w:spacing w:line="360" w:lineRule="auto"/>
        <w:rPr>
          <w:rFonts w:ascii="宋体" w:hAnsi="宋体"/>
          <w:sz w:val="24"/>
        </w:rPr>
      </w:pPr>
      <w:r>
        <w:rPr>
          <w:rFonts w:hint="eastAsia" w:ascii="宋体" w:hAnsi="宋体"/>
          <w:sz w:val="24"/>
        </w:rPr>
        <w:t>六、转移性支出</w:t>
      </w:r>
    </w:p>
    <w:p w14:paraId="13D3FECE">
      <w:pPr>
        <w:numPr>
          <w:ilvl w:val="0"/>
          <w:numId w:val="4"/>
        </w:numPr>
        <w:adjustRightInd w:val="0"/>
        <w:snapToGrid w:val="0"/>
        <w:spacing w:line="360" w:lineRule="auto"/>
        <w:rPr>
          <w:rFonts w:ascii="宋体" w:hAnsi="宋体"/>
          <w:sz w:val="24"/>
        </w:rPr>
      </w:pPr>
      <w:r>
        <w:rPr>
          <w:rFonts w:hint="eastAsia" w:ascii="宋体" w:hAnsi="宋体"/>
          <w:sz w:val="24"/>
        </w:rPr>
        <w:t>社会保障支出</w:t>
      </w:r>
    </w:p>
    <w:p w14:paraId="4BD95A86">
      <w:pPr>
        <w:numPr>
          <w:ilvl w:val="0"/>
          <w:numId w:val="4"/>
        </w:numPr>
        <w:adjustRightInd w:val="0"/>
        <w:snapToGrid w:val="0"/>
        <w:spacing w:line="360" w:lineRule="auto"/>
        <w:rPr>
          <w:rFonts w:ascii="宋体" w:hAnsi="宋体"/>
          <w:sz w:val="24"/>
        </w:rPr>
      </w:pPr>
      <w:r>
        <w:rPr>
          <w:rFonts w:hint="eastAsia" w:ascii="宋体" w:hAnsi="宋体"/>
          <w:sz w:val="24"/>
        </w:rPr>
        <w:t>财政补贴</w:t>
      </w:r>
    </w:p>
    <w:p w14:paraId="695FCBBC">
      <w:pPr>
        <w:numPr>
          <w:ilvl w:val="0"/>
          <w:numId w:val="4"/>
        </w:numPr>
        <w:adjustRightInd w:val="0"/>
        <w:snapToGrid w:val="0"/>
        <w:spacing w:line="360" w:lineRule="auto"/>
        <w:rPr>
          <w:rFonts w:ascii="宋体" w:hAnsi="宋体"/>
          <w:sz w:val="24"/>
        </w:rPr>
      </w:pPr>
      <w:r>
        <w:rPr>
          <w:rFonts w:hint="eastAsia" w:ascii="宋体" w:hAnsi="宋体"/>
          <w:sz w:val="24"/>
        </w:rPr>
        <w:t>税收支出</w:t>
      </w:r>
    </w:p>
    <w:p w14:paraId="259AB3A9">
      <w:pPr>
        <w:adjustRightInd w:val="0"/>
        <w:snapToGrid w:val="0"/>
        <w:spacing w:line="360" w:lineRule="auto"/>
        <w:rPr>
          <w:rFonts w:ascii="宋体" w:hAnsi="宋体"/>
          <w:sz w:val="24"/>
        </w:rPr>
      </w:pPr>
    </w:p>
    <w:p w14:paraId="3F686CF1">
      <w:pPr>
        <w:adjustRightInd w:val="0"/>
        <w:snapToGrid w:val="0"/>
        <w:spacing w:line="360" w:lineRule="auto"/>
        <w:rPr>
          <w:rFonts w:ascii="宋体" w:hAnsi="宋体"/>
          <w:sz w:val="24"/>
        </w:rPr>
      </w:pPr>
      <w:r>
        <w:rPr>
          <w:rFonts w:hint="eastAsia" w:ascii="宋体" w:hAnsi="宋体"/>
          <w:sz w:val="24"/>
        </w:rPr>
        <w:t>七、 财政收入规模与构成分析</w:t>
      </w:r>
    </w:p>
    <w:p w14:paraId="27FEF4D7">
      <w:pPr>
        <w:numPr>
          <w:ilvl w:val="0"/>
          <w:numId w:val="4"/>
        </w:numPr>
        <w:adjustRightInd w:val="0"/>
        <w:snapToGrid w:val="0"/>
        <w:spacing w:line="360" w:lineRule="auto"/>
        <w:rPr>
          <w:rFonts w:ascii="宋体" w:hAnsi="宋体"/>
          <w:sz w:val="24"/>
        </w:rPr>
      </w:pPr>
      <w:r>
        <w:rPr>
          <w:rFonts w:hint="eastAsia" w:ascii="宋体" w:hAnsi="宋体"/>
          <w:sz w:val="24"/>
        </w:rPr>
        <w:t>财政收入分类</w:t>
      </w:r>
    </w:p>
    <w:p w14:paraId="6058A8A8">
      <w:pPr>
        <w:numPr>
          <w:ilvl w:val="0"/>
          <w:numId w:val="4"/>
        </w:numPr>
        <w:adjustRightInd w:val="0"/>
        <w:snapToGrid w:val="0"/>
        <w:spacing w:line="360" w:lineRule="auto"/>
        <w:rPr>
          <w:rFonts w:ascii="宋体" w:hAnsi="宋体"/>
          <w:sz w:val="24"/>
        </w:rPr>
      </w:pPr>
      <w:r>
        <w:rPr>
          <w:rFonts w:hint="eastAsia" w:ascii="宋体" w:hAnsi="宋体"/>
          <w:sz w:val="24"/>
        </w:rPr>
        <w:t>财政收入(预算内)规模的影响因素及我国的实证分析</w:t>
      </w:r>
    </w:p>
    <w:p w14:paraId="77B8B770">
      <w:pPr>
        <w:numPr>
          <w:ilvl w:val="0"/>
          <w:numId w:val="4"/>
        </w:numPr>
        <w:adjustRightInd w:val="0"/>
        <w:snapToGrid w:val="0"/>
        <w:spacing w:line="360" w:lineRule="auto"/>
        <w:rPr>
          <w:rFonts w:ascii="宋体" w:hAnsi="宋体"/>
          <w:sz w:val="24"/>
        </w:rPr>
      </w:pPr>
      <w:r>
        <w:rPr>
          <w:rFonts w:hint="eastAsia" w:ascii="宋体" w:hAnsi="宋体"/>
          <w:sz w:val="24"/>
        </w:rPr>
        <w:t>我国当前财政收入规模水平的分析和评估</w:t>
      </w:r>
    </w:p>
    <w:p w14:paraId="71CE4002">
      <w:pPr>
        <w:numPr>
          <w:ilvl w:val="0"/>
          <w:numId w:val="4"/>
        </w:numPr>
        <w:adjustRightInd w:val="0"/>
        <w:snapToGrid w:val="0"/>
        <w:spacing w:line="360" w:lineRule="auto"/>
        <w:rPr>
          <w:rFonts w:ascii="宋体" w:hAnsi="宋体"/>
          <w:sz w:val="24"/>
        </w:rPr>
      </w:pPr>
      <w:r>
        <w:rPr>
          <w:rFonts w:hint="eastAsia" w:ascii="宋体" w:hAnsi="宋体"/>
          <w:sz w:val="24"/>
        </w:rPr>
        <w:t>财政收入形式构成和预算外资金分析</w:t>
      </w:r>
    </w:p>
    <w:p w14:paraId="192BDF40">
      <w:pPr>
        <w:adjustRightInd w:val="0"/>
        <w:snapToGrid w:val="0"/>
        <w:spacing w:line="360" w:lineRule="auto"/>
        <w:rPr>
          <w:rFonts w:ascii="宋体" w:hAnsi="宋体"/>
          <w:sz w:val="24"/>
        </w:rPr>
      </w:pPr>
    </w:p>
    <w:p w14:paraId="348C9376">
      <w:pPr>
        <w:adjustRightInd w:val="0"/>
        <w:snapToGrid w:val="0"/>
        <w:spacing w:line="360" w:lineRule="auto"/>
        <w:rPr>
          <w:rFonts w:ascii="宋体" w:hAnsi="宋体"/>
          <w:sz w:val="24"/>
        </w:rPr>
      </w:pPr>
      <w:r>
        <w:rPr>
          <w:rFonts w:hint="eastAsia" w:ascii="宋体" w:hAnsi="宋体"/>
          <w:sz w:val="24"/>
        </w:rPr>
        <w:t>八、 税收原理</w:t>
      </w:r>
    </w:p>
    <w:p w14:paraId="021E20FB">
      <w:pPr>
        <w:numPr>
          <w:ilvl w:val="0"/>
          <w:numId w:val="4"/>
        </w:numPr>
        <w:adjustRightInd w:val="0"/>
        <w:snapToGrid w:val="0"/>
        <w:spacing w:line="360" w:lineRule="auto"/>
        <w:rPr>
          <w:rFonts w:ascii="宋体" w:hAnsi="宋体"/>
          <w:sz w:val="24"/>
        </w:rPr>
      </w:pPr>
      <w:r>
        <w:rPr>
          <w:rFonts w:hint="eastAsia" w:ascii="宋体" w:hAnsi="宋体"/>
          <w:sz w:val="24"/>
        </w:rPr>
        <w:t>什么是税收</w:t>
      </w:r>
    </w:p>
    <w:p w14:paraId="2F194202">
      <w:pPr>
        <w:numPr>
          <w:ilvl w:val="0"/>
          <w:numId w:val="4"/>
        </w:numPr>
        <w:adjustRightInd w:val="0"/>
        <w:snapToGrid w:val="0"/>
        <w:spacing w:line="360" w:lineRule="auto"/>
        <w:rPr>
          <w:rFonts w:ascii="宋体" w:hAnsi="宋体"/>
          <w:sz w:val="24"/>
        </w:rPr>
      </w:pPr>
      <w:r>
        <w:rPr>
          <w:rFonts w:hint="eastAsia" w:ascii="宋体" w:hAnsi="宋体"/>
          <w:sz w:val="24"/>
        </w:rPr>
        <w:t>税收术语和税收分类</w:t>
      </w:r>
    </w:p>
    <w:p w14:paraId="684AB679">
      <w:pPr>
        <w:numPr>
          <w:ilvl w:val="0"/>
          <w:numId w:val="4"/>
        </w:numPr>
        <w:adjustRightInd w:val="0"/>
        <w:snapToGrid w:val="0"/>
        <w:spacing w:line="360" w:lineRule="auto"/>
        <w:rPr>
          <w:rFonts w:ascii="宋体" w:hAnsi="宋体"/>
          <w:sz w:val="24"/>
        </w:rPr>
      </w:pPr>
      <w:r>
        <w:rPr>
          <w:rFonts w:hint="eastAsia" w:ascii="宋体" w:hAnsi="宋体"/>
          <w:sz w:val="24"/>
        </w:rPr>
        <w:t>税收原则</w:t>
      </w:r>
    </w:p>
    <w:p w14:paraId="46FD37AC">
      <w:pPr>
        <w:numPr>
          <w:ilvl w:val="0"/>
          <w:numId w:val="4"/>
        </w:numPr>
        <w:adjustRightInd w:val="0"/>
        <w:snapToGrid w:val="0"/>
        <w:spacing w:line="360" w:lineRule="auto"/>
        <w:rPr>
          <w:rFonts w:ascii="宋体" w:hAnsi="宋体"/>
          <w:sz w:val="24"/>
        </w:rPr>
      </w:pPr>
      <w:r>
        <w:rPr>
          <w:rFonts w:hint="eastAsia" w:ascii="宋体" w:hAnsi="宋体"/>
          <w:sz w:val="24"/>
        </w:rPr>
        <w:t>税负的转嫁与归宿</w:t>
      </w:r>
    </w:p>
    <w:p w14:paraId="43C22488">
      <w:pPr>
        <w:adjustRightInd w:val="0"/>
        <w:snapToGrid w:val="0"/>
        <w:spacing w:line="360" w:lineRule="auto"/>
        <w:rPr>
          <w:rFonts w:ascii="宋体" w:hAnsi="宋体"/>
          <w:sz w:val="24"/>
        </w:rPr>
      </w:pPr>
    </w:p>
    <w:p w14:paraId="2B3C47AA">
      <w:pPr>
        <w:adjustRightInd w:val="0"/>
        <w:snapToGrid w:val="0"/>
        <w:spacing w:line="360" w:lineRule="auto"/>
        <w:rPr>
          <w:rFonts w:ascii="宋体" w:hAnsi="宋体"/>
          <w:sz w:val="24"/>
        </w:rPr>
      </w:pPr>
      <w:r>
        <w:rPr>
          <w:rFonts w:hint="eastAsia" w:ascii="宋体" w:hAnsi="宋体"/>
          <w:sz w:val="24"/>
        </w:rPr>
        <w:t>九、税收的经济效应</w:t>
      </w:r>
    </w:p>
    <w:p w14:paraId="7BCC1650">
      <w:pPr>
        <w:numPr>
          <w:ilvl w:val="0"/>
          <w:numId w:val="4"/>
        </w:numPr>
        <w:adjustRightInd w:val="0"/>
        <w:snapToGrid w:val="0"/>
        <w:spacing w:line="360" w:lineRule="auto"/>
        <w:rPr>
          <w:rFonts w:ascii="宋体" w:hAnsi="宋体"/>
          <w:sz w:val="24"/>
        </w:rPr>
      </w:pPr>
      <w:r>
        <w:rPr>
          <w:rFonts w:hint="eastAsia" w:ascii="宋体" w:hAnsi="宋体"/>
          <w:sz w:val="24"/>
        </w:rPr>
        <w:t>税收的经济效应的作用机制</w:t>
      </w:r>
    </w:p>
    <w:p w14:paraId="4C369C25">
      <w:pPr>
        <w:numPr>
          <w:ilvl w:val="0"/>
          <w:numId w:val="4"/>
        </w:numPr>
        <w:adjustRightInd w:val="0"/>
        <w:snapToGrid w:val="0"/>
        <w:spacing w:line="360" w:lineRule="auto"/>
        <w:rPr>
          <w:rFonts w:ascii="宋体" w:hAnsi="宋体"/>
          <w:sz w:val="24"/>
        </w:rPr>
      </w:pPr>
      <w:r>
        <w:rPr>
          <w:rFonts w:hint="eastAsia" w:ascii="宋体" w:hAnsi="宋体"/>
          <w:sz w:val="24"/>
        </w:rPr>
        <w:t>税收的经济影响</w:t>
      </w:r>
    </w:p>
    <w:p w14:paraId="31A790B6">
      <w:pPr>
        <w:numPr>
          <w:ilvl w:val="0"/>
          <w:numId w:val="4"/>
        </w:numPr>
        <w:adjustRightInd w:val="0"/>
        <w:snapToGrid w:val="0"/>
        <w:spacing w:line="360" w:lineRule="auto"/>
        <w:rPr>
          <w:rFonts w:ascii="宋体" w:hAnsi="宋体"/>
          <w:sz w:val="24"/>
        </w:rPr>
      </w:pPr>
      <w:r>
        <w:rPr>
          <w:rFonts w:hint="eastAsia" w:ascii="宋体" w:hAnsi="宋体"/>
          <w:sz w:val="24"/>
        </w:rPr>
        <w:t>税收与经济发展</w:t>
      </w:r>
    </w:p>
    <w:p w14:paraId="43134E2F">
      <w:pPr>
        <w:adjustRightInd w:val="0"/>
        <w:snapToGrid w:val="0"/>
        <w:spacing w:line="360" w:lineRule="auto"/>
        <w:rPr>
          <w:rFonts w:ascii="宋体" w:hAnsi="宋体"/>
          <w:sz w:val="24"/>
        </w:rPr>
      </w:pPr>
    </w:p>
    <w:p w14:paraId="1133776F">
      <w:pPr>
        <w:adjustRightInd w:val="0"/>
        <w:snapToGrid w:val="0"/>
        <w:spacing w:line="360" w:lineRule="auto"/>
        <w:rPr>
          <w:rFonts w:ascii="宋体" w:hAnsi="宋体"/>
          <w:sz w:val="24"/>
        </w:rPr>
      </w:pPr>
      <w:r>
        <w:rPr>
          <w:rFonts w:hint="eastAsia" w:ascii="宋体" w:hAnsi="宋体"/>
          <w:sz w:val="24"/>
        </w:rPr>
        <w:t>十、 税收制度</w:t>
      </w:r>
    </w:p>
    <w:p w14:paraId="79611DE5">
      <w:pPr>
        <w:numPr>
          <w:ilvl w:val="0"/>
          <w:numId w:val="4"/>
        </w:numPr>
        <w:adjustRightInd w:val="0"/>
        <w:snapToGrid w:val="0"/>
        <w:spacing w:line="360" w:lineRule="auto"/>
        <w:rPr>
          <w:rFonts w:ascii="宋体" w:hAnsi="宋体"/>
          <w:sz w:val="24"/>
        </w:rPr>
      </w:pPr>
      <w:r>
        <w:rPr>
          <w:rFonts w:hint="eastAsia" w:ascii="宋体" w:hAnsi="宋体"/>
          <w:sz w:val="24"/>
        </w:rPr>
        <w:t>我国税收制度的历史演变</w:t>
      </w:r>
    </w:p>
    <w:p w14:paraId="55C666A8">
      <w:pPr>
        <w:numPr>
          <w:ilvl w:val="0"/>
          <w:numId w:val="4"/>
        </w:numPr>
        <w:adjustRightInd w:val="0"/>
        <w:snapToGrid w:val="0"/>
        <w:spacing w:line="360" w:lineRule="auto"/>
        <w:rPr>
          <w:rFonts w:ascii="宋体" w:hAnsi="宋体"/>
          <w:sz w:val="24"/>
        </w:rPr>
      </w:pPr>
      <w:r>
        <w:rPr>
          <w:rFonts w:hint="eastAsia" w:ascii="宋体" w:hAnsi="宋体"/>
          <w:sz w:val="24"/>
        </w:rPr>
        <w:t>商品课税</w:t>
      </w:r>
    </w:p>
    <w:p w14:paraId="7B2BB5CD">
      <w:pPr>
        <w:numPr>
          <w:ilvl w:val="0"/>
          <w:numId w:val="4"/>
        </w:numPr>
        <w:adjustRightInd w:val="0"/>
        <w:snapToGrid w:val="0"/>
        <w:spacing w:line="360" w:lineRule="auto"/>
        <w:rPr>
          <w:rFonts w:ascii="宋体" w:hAnsi="宋体"/>
          <w:sz w:val="24"/>
        </w:rPr>
      </w:pPr>
      <w:r>
        <w:rPr>
          <w:rFonts w:hint="eastAsia" w:ascii="宋体" w:hAnsi="宋体"/>
          <w:sz w:val="24"/>
        </w:rPr>
        <w:t>所得课税</w:t>
      </w:r>
    </w:p>
    <w:p w14:paraId="4E89B050">
      <w:pPr>
        <w:numPr>
          <w:ilvl w:val="0"/>
          <w:numId w:val="4"/>
        </w:numPr>
        <w:adjustRightInd w:val="0"/>
        <w:snapToGrid w:val="0"/>
        <w:spacing w:line="360" w:lineRule="auto"/>
        <w:rPr>
          <w:rFonts w:ascii="宋体" w:hAnsi="宋体"/>
          <w:sz w:val="24"/>
        </w:rPr>
      </w:pPr>
      <w:r>
        <w:rPr>
          <w:rFonts w:hint="eastAsia" w:ascii="宋体" w:hAnsi="宋体"/>
          <w:sz w:val="24"/>
        </w:rPr>
        <w:t>资源课税与财产课税</w:t>
      </w:r>
    </w:p>
    <w:p w14:paraId="11509EE1">
      <w:pPr>
        <w:numPr>
          <w:ilvl w:val="0"/>
          <w:numId w:val="4"/>
        </w:numPr>
        <w:adjustRightInd w:val="0"/>
        <w:snapToGrid w:val="0"/>
        <w:spacing w:line="360" w:lineRule="auto"/>
        <w:rPr>
          <w:rFonts w:ascii="宋体" w:hAnsi="宋体"/>
          <w:sz w:val="24"/>
        </w:rPr>
      </w:pPr>
      <w:r>
        <w:rPr>
          <w:rFonts w:hint="eastAsia" w:ascii="宋体" w:hAnsi="宋体"/>
          <w:sz w:val="24"/>
        </w:rPr>
        <w:t>我国税收征管制度</w:t>
      </w:r>
    </w:p>
    <w:p w14:paraId="35F12574">
      <w:pPr>
        <w:adjustRightInd w:val="0"/>
        <w:snapToGrid w:val="0"/>
        <w:spacing w:line="360" w:lineRule="auto"/>
        <w:rPr>
          <w:rFonts w:ascii="宋体" w:hAnsi="宋体"/>
          <w:sz w:val="24"/>
        </w:rPr>
      </w:pPr>
    </w:p>
    <w:p w14:paraId="52528217">
      <w:pPr>
        <w:adjustRightInd w:val="0"/>
        <w:snapToGrid w:val="0"/>
        <w:spacing w:line="360" w:lineRule="auto"/>
        <w:rPr>
          <w:rFonts w:ascii="宋体" w:hAnsi="宋体"/>
          <w:sz w:val="24"/>
        </w:rPr>
      </w:pPr>
      <w:r>
        <w:rPr>
          <w:rFonts w:hint="eastAsia" w:ascii="宋体" w:hAnsi="宋体"/>
          <w:sz w:val="24"/>
        </w:rPr>
        <w:t>十一、 税制改革的理论与实践</w:t>
      </w:r>
    </w:p>
    <w:p w14:paraId="42A4B637">
      <w:pPr>
        <w:numPr>
          <w:ilvl w:val="0"/>
          <w:numId w:val="4"/>
        </w:numPr>
        <w:adjustRightInd w:val="0"/>
        <w:snapToGrid w:val="0"/>
        <w:spacing w:line="360" w:lineRule="auto"/>
        <w:rPr>
          <w:rFonts w:ascii="宋体" w:hAnsi="宋体"/>
          <w:sz w:val="24"/>
        </w:rPr>
      </w:pPr>
      <w:r>
        <w:rPr>
          <w:rFonts w:hint="eastAsia" w:ascii="宋体" w:hAnsi="宋体"/>
          <w:sz w:val="24"/>
        </w:rPr>
        <w:t>工商税制改革</w:t>
      </w:r>
    </w:p>
    <w:p w14:paraId="09241AE5">
      <w:pPr>
        <w:numPr>
          <w:ilvl w:val="0"/>
          <w:numId w:val="4"/>
        </w:numPr>
        <w:adjustRightInd w:val="0"/>
        <w:snapToGrid w:val="0"/>
        <w:spacing w:line="360" w:lineRule="auto"/>
        <w:rPr>
          <w:rFonts w:ascii="宋体" w:hAnsi="宋体"/>
          <w:sz w:val="24"/>
        </w:rPr>
      </w:pPr>
      <w:r>
        <w:rPr>
          <w:rFonts w:hint="eastAsia" w:ascii="宋体" w:hAnsi="宋体"/>
          <w:sz w:val="24"/>
        </w:rPr>
        <w:t>我国工商税制改革的基本思路和方向</w:t>
      </w:r>
    </w:p>
    <w:p w14:paraId="73BD47CC">
      <w:pPr>
        <w:numPr>
          <w:ilvl w:val="0"/>
          <w:numId w:val="4"/>
        </w:numPr>
        <w:adjustRightInd w:val="0"/>
        <w:snapToGrid w:val="0"/>
        <w:spacing w:line="360" w:lineRule="auto"/>
        <w:rPr>
          <w:rFonts w:ascii="宋体" w:hAnsi="宋体"/>
          <w:sz w:val="24"/>
        </w:rPr>
      </w:pPr>
      <w:r>
        <w:rPr>
          <w:rFonts w:hint="eastAsia" w:ascii="宋体" w:hAnsi="宋体"/>
          <w:sz w:val="24"/>
        </w:rPr>
        <w:t>农村税费改革</w:t>
      </w:r>
    </w:p>
    <w:p w14:paraId="36B42B06">
      <w:pPr>
        <w:adjustRightInd w:val="0"/>
        <w:snapToGrid w:val="0"/>
        <w:spacing w:line="360" w:lineRule="auto"/>
        <w:rPr>
          <w:rFonts w:ascii="宋体" w:hAnsi="宋体"/>
          <w:sz w:val="24"/>
        </w:rPr>
      </w:pPr>
    </w:p>
    <w:p w14:paraId="6F645BD5">
      <w:pPr>
        <w:adjustRightInd w:val="0"/>
        <w:snapToGrid w:val="0"/>
        <w:spacing w:line="360" w:lineRule="auto"/>
        <w:rPr>
          <w:rFonts w:ascii="宋体" w:hAnsi="宋体"/>
          <w:sz w:val="24"/>
        </w:rPr>
      </w:pPr>
      <w:r>
        <w:rPr>
          <w:rFonts w:hint="eastAsia" w:ascii="宋体" w:hAnsi="宋体"/>
          <w:sz w:val="24"/>
        </w:rPr>
        <w:t>十二、 国债和国债市场</w:t>
      </w:r>
    </w:p>
    <w:p w14:paraId="4793AF7C">
      <w:pPr>
        <w:numPr>
          <w:ilvl w:val="0"/>
          <w:numId w:val="4"/>
        </w:numPr>
        <w:adjustRightInd w:val="0"/>
        <w:snapToGrid w:val="0"/>
        <w:spacing w:line="360" w:lineRule="auto"/>
        <w:rPr>
          <w:rFonts w:ascii="宋体" w:hAnsi="宋体"/>
          <w:sz w:val="24"/>
        </w:rPr>
      </w:pPr>
      <w:r>
        <w:rPr>
          <w:rFonts w:hint="eastAsia" w:ascii="宋体" w:hAnsi="宋体"/>
          <w:sz w:val="24"/>
        </w:rPr>
        <w:t>国债原理</w:t>
      </w:r>
    </w:p>
    <w:p w14:paraId="69C40C18">
      <w:pPr>
        <w:numPr>
          <w:ilvl w:val="0"/>
          <w:numId w:val="4"/>
        </w:numPr>
        <w:adjustRightInd w:val="0"/>
        <w:snapToGrid w:val="0"/>
        <w:spacing w:line="360" w:lineRule="auto"/>
        <w:rPr>
          <w:rFonts w:ascii="宋体" w:hAnsi="宋体"/>
          <w:sz w:val="24"/>
        </w:rPr>
      </w:pPr>
      <w:r>
        <w:rPr>
          <w:rFonts w:hint="eastAsia" w:ascii="宋体" w:hAnsi="宋体"/>
          <w:sz w:val="24"/>
        </w:rPr>
        <w:t>国债的经济效应和政策功能</w:t>
      </w:r>
    </w:p>
    <w:p w14:paraId="552E30FF">
      <w:pPr>
        <w:numPr>
          <w:ilvl w:val="0"/>
          <w:numId w:val="4"/>
        </w:numPr>
        <w:adjustRightInd w:val="0"/>
        <w:snapToGrid w:val="0"/>
        <w:spacing w:line="360" w:lineRule="auto"/>
        <w:rPr>
          <w:rFonts w:ascii="宋体" w:hAnsi="宋体"/>
          <w:sz w:val="24"/>
        </w:rPr>
      </w:pPr>
      <w:r>
        <w:rPr>
          <w:rFonts w:hint="eastAsia" w:ascii="宋体" w:hAnsi="宋体"/>
          <w:sz w:val="24"/>
        </w:rPr>
        <w:t>我国债务负担率及债务依存度的分析</w:t>
      </w:r>
    </w:p>
    <w:p w14:paraId="544A5885">
      <w:pPr>
        <w:numPr>
          <w:ilvl w:val="0"/>
          <w:numId w:val="4"/>
        </w:numPr>
        <w:adjustRightInd w:val="0"/>
        <w:snapToGrid w:val="0"/>
        <w:spacing w:line="360" w:lineRule="auto"/>
        <w:rPr>
          <w:rFonts w:ascii="宋体" w:hAnsi="宋体"/>
          <w:sz w:val="24"/>
        </w:rPr>
      </w:pPr>
      <w:r>
        <w:rPr>
          <w:rFonts w:hint="eastAsia" w:ascii="宋体" w:hAnsi="宋体"/>
          <w:sz w:val="24"/>
        </w:rPr>
        <w:t>国债市场及其功能</w:t>
      </w:r>
    </w:p>
    <w:p w14:paraId="181DDAE6">
      <w:pPr>
        <w:numPr>
          <w:ilvl w:val="0"/>
          <w:numId w:val="4"/>
        </w:numPr>
        <w:adjustRightInd w:val="0"/>
        <w:snapToGrid w:val="0"/>
        <w:spacing w:line="360" w:lineRule="auto"/>
        <w:rPr>
          <w:rFonts w:ascii="宋体" w:hAnsi="宋体"/>
          <w:sz w:val="24"/>
        </w:rPr>
      </w:pPr>
      <w:r>
        <w:rPr>
          <w:rFonts w:hint="eastAsia" w:ascii="宋体" w:hAnsi="宋体"/>
          <w:sz w:val="24"/>
        </w:rPr>
        <w:t>政府直接隐性债务和或有债务</w:t>
      </w:r>
    </w:p>
    <w:p w14:paraId="4D59EE3E">
      <w:pPr>
        <w:adjustRightInd w:val="0"/>
        <w:snapToGrid w:val="0"/>
        <w:spacing w:line="360" w:lineRule="auto"/>
        <w:rPr>
          <w:rFonts w:ascii="宋体" w:hAnsi="宋体"/>
          <w:sz w:val="24"/>
        </w:rPr>
      </w:pPr>
    </w:p>
    <w:p w14:paraId="24D7C029">
      <w:pPr>
        <w:adjustRightInd w:val="0"/>
        <w:snapToGrid w:val="0"/>
        <w:spacing w:line="360" w:lineRule="auto"/>
        <w:rPr>
          <w:rFonts w:ascii="宋体" w:hAnsi="宋体"/>
          <w:sz w:val="24"/>
        </w:rPr>
      </w:pPr>
      <w:r>
        <w:rPr>
          <w:rFonts w:hint="eastAsia" w:ascii="宋体" w:hAnsi="宋体"/>
          <w:sz w:val="24"/>
        </w:rPr>
        <w:t>十三、 国家预算和预算管理体制</w:t>
      </w:r>
    </w:p>
    <w:p w14:paraId="4B54B69A">
      <w:pPr>
        <w:numPr>
          <w:ilvl w:val="0"/>
          <w:numId w:val="4"/>
        </w:numPr>
        <w:adjustRightInd w:val="0"/>
        <w:snapToGrid w:val="0"/>
        <w:spacing w:line="360" w:lineRule="auto"/>
        <w:rPr>
          <w:rFonts w:ascii="宋体" w:hAnsi="宋体"/>
          <w:sz w:val="24"/>
        </w:rPr>
      </w:pPr>
      <w:r>
        <w:rPr>
          <w:rFonts w:hint="eastAsia" w:ascii="宋体" w:hAnsi="宋体"/>
          <w:sz w:val="24"/>
        </w:rPr>
        <w:t>国家预算概述</w:t>
      </w:r>
    </w:p>
    <w:p w14:paraId="1C5EDA0B">
      <w:pPr>
        <w:numPr>
          <w:ilvl w:val="0"/>
          <w:numId w:val="4"/>
        </w:numPr>
        <w:adjustRightInd w:val="0"/>
        <w:snapToGrid w:val="0"/>
        <w:spacing w:line="360" w:lineRule="auto"/>
        <w:rPr>
          <w:rFonts w:ascii="宋体" w:hAnsi="宋体"/>
          <w:sz w:val="24"/>
        </w:rPr>
      </w:pPr>
      <w:r>
        <w:rPr>
          <w:rFonts w:hint="eastAsia" w:ascii="宋体" w:hAnsi="宋体"/>
          <w:sz w:val="24"/>
        </w:rPr>
        <w:t>我国预算管理制度的改革和建设</w:t>
      </w:r>
    </w:p>
    <w:p w14:paraId="0CED11CF">
      <w:pPr>
        <w:numPr>
          <w:ilvl w:val="0"/>
          <w:numId w:val="4"/>
        </w:numPr>
        <w:adjustRightInd w:val="0"/>
        <w:snapToGrid w:val="0"/>
        <w:spacing w:line="360" w:lineRule="auto"/>
        <w:rPr>
          <w:rFonts w:ascii="宋体" w:hAnsi="宋体"/>
          <w:sz w:val="24"/>
        </w:rPr>
      </w:pPr>
      <w:r>
        <w:rPr>
          <w:rFonts w:hint="eastAsia" w:ascii="宋体" w:hAnsi="宋体"/>
          <w:sz w:val="24"/>
        </w:rPr>
        <w:t>中国分税制改革</w:t>
      </w:r>
    </w:p>
    <w:p w14:paraId="22FD33D5">
      <w:pPr>
        <w:adjustRightInd w:val="0"/>
        <w:snapToGrid w:val="0"/>
        <w:spacing w:line="360" w:lineRule="auto"/>
        <w:rPr>
          <w:rFonts w:ascii="宋体" w:hAnsi="宋体"/>
          <w:sz w:val="24"/>
        </w:rPr>
      </w:pPr>
    </w:p>
    <w:p w14:paraId="168181D8">
      <w:pPr>
        <w:adjustRightInd w:val="0"/>
        <w:snapToGrid w:val="0"/>
        <w:spacing w:line="360" w:lineRule="auto"/>
        <w:rPr>
          <w:rFonts w:ascii="宋体" w:hAnsi="宋体"/>
          <w:sz w:val="24"/>
        </w:rPr>
      </w:pPr>
      <w:r>
        <w:rPr>
          <w:rFonts w:hint="eastAsia" w:ascii="宋体" w:hAnsi="宋体"/>
          <w:sz w:val="24"/>
        </w:rPr>
        <w:t>十四、 财政平衡和财政赤字</w:t>
      </w:r>
    </w:p>
    <w:p w14:paraId="124C63E3">
      <w:pPr>
        <w:numPr>
          <w:ilvl w:val="0"/>
          <w:numId w:val="4"/>
        </w:numPr>
        <w:adjustRightInd w:val="0"/>
        <w:snapToGrid w:val="0"/>
        <w:spacing w:line="360" w:lineRule="auto"/>
        <w:rPr>
          <w:rFonts w:ascii="宋体" w:hAnsi="宋体"/>
          <w:sz w:val="24"/>
        </w:rPr>
      </w:pPr>
      <w:r>
        <w:rPr>
          <w:rFonts w:hint="eastAsia" w:ascii="宋体" w:hAnsi="宋体"/>
          <w:sz w:val="24"/>
        </w:rPr>
        <w:t>财政平衡与财政赤字概述</w:t>
      </w:r>
    </w:p>
    <w:p w14:paraId="572D5FC0">
      <w:pPr>
        <w:numPr>
          <w:ilvl w:val="0"/>
          <w:numId w:val="4"/>
        </w:numPr>
        <w:adjustRightInd w:val="0"/>
        <w:snapToGrid w:val="0"/>
        <w:spacing w:line="360" w:lineRule="auto"/>
        <w:rPr>
          <w:rFonts w:ascii="宋体" w:hAnsi="宋体"/>
          <w:sz w:val="24"/>
        </w:rPr>
      </w:pPr>
      <w:r>
        <w:rPr>
          <w:rFonts w:hint="eastAsia" w:ascii="宋体" w:hAnsi="宋体"/>
          <w:sz w:val="24"/>
        </w:rPr>
        <w:t>财政赤字与社会总供求平衡</w:t>
      </w:r>
    </w:p>
    <w:p w14:paraId="6A1DDC23">
      <w:pPr>
        <w:numPr>
          <w:ilvl w:val="0"/>
          <w:numId w:val="4"/>
        </w:numPr>
        <w:adjustRightInd w:val="0"/>
        <w:snapToGrid w:val="0"/>
        <w:spacing w:line="360" w:lineRule="auto"/>
        <w:rPr>
          <w:rFonts w:ascii="宋体" w:hAnsi="宋体"/>
          <w:sz w:val="24"/>
        </w:rPr>
      </w:pPr>
      <w:r>
        <w:rPr>
          <w:rFonts w:hint="eastAsia" w:ascii="宋体" w:hAnsi="宋体"/>
          <w:sz w:val="24"/>
        </w:rPr>
        <w:t>运用IS-LM模型分析财政赤字的经济效应</w:t>
      </w:r>
    </w:p>
    <w:p w14:paraId="76127AC2">
      <w:pPr>
        <w:adjustRightInd w:val="0"/>
        <w:snapToGrid w:val="0"/>
        <w:spacing w:line="360" w:lineRule="auto"/>
        <w:rPr>
          <w:rFonts w:ascii="宋体" w:hAnsi="宋体"/>
          <w:sz w:val="24"/>
        </w:rPr>
      </w:pPr>
    </w:p>
    <w:p w14:paraId="568D8453">
      <w:pPr>
        <w:adjustRightInd w:val="0"/>
        <w:snapToGrid w:val="0"/>
        <w:spacing w:line="360" w:lineRule="auto"/>
        <w:rPr>
          <w:rFonts w:ascii="宋体" w:hAnsi="宋体"/>
          <w:sz w:val="24"/>
        </w:rPr>
      </w:pPr>
      <w:r>
        <w:rPr>
          <w:rFonts w:hint="eastAsia" w:ascii="宋体" w:hAnsi="宋体"/>
          <w:sz w:val="24"/>
        </w:rPr>
        <w:t>十五、 财政政策</w:t>
      </w:r>
    </w:p>
    <w:p w14:paraId="287D7C56">
      <w:pPr>
        <w:numPr>
          <w:ilvl w:val="0"/>
          <w:numId w:val="4"/>
        </w:numPr>
        <w:adjustRightInd w:val="0"/>
        <w:snapToGrid w:val="0"/>
        <w:spacing w:line="360" w:lineRule="auto"/>
        <w:rPr>
          <w:rFonts w:ascii="宋体" w:hAnsi="宋体"/>
          <w:sz w:val="24"/>
        </w:rPr>
      </w:pPr>
      <w:r>
        <w:rPr>
          <w:rFonts w:hint="eastAsia" w:ascii="宋体" w:hAnsi="宋体"/>
          <w:sz w:val="24"/>
        </w:rPr>
        <w:t>财政政策概述</w:t>
      </w:r>
    </w:p>
    <w:p w14:paraId="214466C3">
      <w:pPr>
        <w:numPr>
          <w:ilvl w:val="0"/>
          <w:numId w:val="4"/>
        </w:numPr>
        <w:adjustRightInd w:val="0"/>
        <w:snapToGrid w:val="0"/>
        <w:spacing w:line="360" w:lineRule="auto"/>
        <w:rPr>
          <w:rFonts w:ascii="宋体" w:hAnsi="宋体"/>
          <w:sz w:val="24"/>
        </w:rPr>
      </w:pPr>
      <w:r>
        <w:rPr>
          <w:rFonts w:hint="eastAsia" w:ascii="宋体" w:hAnsi="宋体"/>
          <w:sz w:val="24"/>
        </w:rPr>
        <w:t>财政政策的传导和效应</w:t>
      </w:r>
    </w:p>
    <w:p w14:paraId="626C023C">
      <w:pPr>
        <w:numPr>
          <w:ilvl w:val="0"/>
          <w:numId w:val="4"/>
        </w:numPr>
        <w:adjustRightInd w:val="0"/>
        <w:snapToGrid w:val="0"/>
        <w:spacing w:line="360" w:lineRule="auto"/>
        <w:rPr>
          <w:rFonts w:ascii="宋体" w:hAnsi="宋体"/>
          <w:sz w:val="24"/>
        </w:rPr>
      </w:pPr>
      <w:r>
        <w:rPr>
          <w:rFonts w:hint="eastAsia" w:ascii="宋体" w:hAnsi="宋体"/>
          <w:sz w:val="24"/>
        </w:rPr>
        <w:t>财政政策与货币政策的配合</w:t>
      </w:r>
    </w:p>
    <w:p w14:paraId="7099E62F">
      <w:pPr>
        <w:numPr>
          <w:ilvl w:val="0"/>
          <w:numId w:val="4"/>
        </w:numPr>
        <w:adjustRightInd w:val="0"/>
        <w:snapToGrid w:val="0"/>
        <w:spacing w:line="360" w:lineRule="auto"/>
        <w:rPr>
          <w:rFonts w:ascii="宋体" w:hAnsi="宋体"/>
          <w:sz w:val="24"/>
        </w:rPr>
      </w:pPr>
      <w:r>
        <w:rPr>
          <w:rFonts w:hint="eastAsia" w:ascii="宋体" w:hAnsi="宋体"/>
          <w:sz w:val="24"/>
        </w:rPr>
        <w:t>我国财政政策的实践和经验</w:t>
      </w:r>
    </w:p>
    <w:p w14:paraId="60E41147">
      <w:pPr>
        <w:rPr>
          <w:rFonts w:ascii="宋体" w:hAnsi="宋体"/>
          <w:sz w:val="24"/>
        </w:rPr>
      </w:pPr>
    </w:p>
    <w:p w14:paraId="18CA4C71">
      <w:pPr>
        <w:rPr>
          <w:rFonts w:ascii="宋体" w:hAnsi="宋体"/>
          <w:sz w:val="24"/>
        </w:rPr>
      </w:pPr>
      <w:r>
        <w:rPr>
          <w:rFonts w:hint="eastAsia" w:ascii="宋体" w:hAnsi="宋体"/>
          <w:sz w:val="24"/>
        </w:rPr>
        <w:t>十六、 开放经济下的财政问题</w:t>
      </w:r>
    </w:p>
    <w:p w14:paraId="2EAFC02B">
      <w:pPr>
        <w:numPr>
          <w:ilvl w:val="0"/>
          <w:numId w:val="4"/>
        </w:numPr>
        <w:adjustRightInd w:val="0"/>
        <w:snapToGrid w:val="0"/>
        <w:spacing w:line="360" w:lineRule="auto"/>
        <w:rPr>
          <w:rFonts w:ascii="宋体" w:hAnsi="宋体"/>
          <w:sz w:val="24"/>
        </w:rPr>
      </w:pPr>
      <w:r>
        <w:rPr>
          <w:rFonts w:ascii="宋体" w:hAnsi="宋体"/>
          <w:sz w:val="24"/>
        </w:rPr>
        <w:t xml:space="preserve">国际税收 </w:t>
      </w:r>
    </w:p>
    <w:p w14:paraId="26680FB4">
      <w:pPr>
        <w:numPr>
          <w:ilvl w:val="0"/>
          <w:numId w:val="4"/>
        </w:numPr>
        <w:adjustRightInd w:val="0"/>
        <w:snapToGrid w:val="0"/>
        <w:spacing w:line="360" w:lineRule="auto"/>
        <w:rPr>
          <w:rFonts w:ascii="宋体" w:hAnsi="宋体"/>
          <w:sz w:val="24"/>
        </w:rPr>
      </w:pPr>
      <w:r>
        <w:rPr>
          <w:rFonts w:ascii="宋体" w:hAnsi="宋体"/>
          <w:sz w:val="24"/>
        </w:rPr>
        <w:t xml:space="preserve">关税 </w:t>
      </w:r>
    </w:p>
    <w:p w14:paraId="095BBA09">
      <w:pPr>
        <w:numPr>
          <w:ilvl w:val="0"/>
          <w:numId w:val="4"/>
        </w:numPr>
        <w:adjustRightInd w:val="0"/>
        <w:snapToGrid w:val="0"/>
        <w:spacing w:line="360" w:lineRule="auto"/>
        <w:rPr>
          <w:rFonts w:ascii="宋体" w:hAnsi="宋体"/>
          <w:sz w:val="24"/>
        </w:rPr>
      </w:pPr>
      <w:r>
        <w:rPr>
          <w:rFonts w:ascii="宋体" w:hAnsi="宋体"/>
          <w:sz w:val="24"/>
        </w:rPr>
        <w:t>出口退税</w:t>
      </w:r>
    </w:p>
    <w:p w14:paraId="0EC2B6CC">
      <w:pPr>
        <w:numPr>
          <w:ilvl w:val="0"/>
          <w:numId w:val="4"/>
        </w:numPr>
        <w:adjustRightInd w:val="0"/>
        <w:snapToGrid w:val="0"/>
        <w:spacing w:line="360" w:lineRule="auto"/>
        <w:rPr>
          <w:rFonts w:ascii="宋体" w:hAnsi="宋体"/>
          <w:sz w:val="24"/>
        </w:rPr>
      </w:pPr>
      <w:r>
        <w:rPr>
          <w:rFonts w:ascii="宋体" w:hAnsi="宋体"/>
          <w:sz w:val="24"/>
        </w:rPr>
        <w:t xml:space="preserve">外债 </w:t>
      </w:r>
    </w:p>
    <w:p w14:paraId="1D72A0FF">
      <w:pPr>
        <w:adjustRightInd w:val="0"/>
        <w:snapToGrid w:val="0"/>
        <w:spacing w:line="360" w:lineRule="auto"/>
        <w:rPr>
          <w:rFonts w:ascii="宋体" w:hAnsi="宋体"/>
          <w:sz w:val="24"/>
        </w:rPr>
      </w:pPr>
    </w:p>
    <w:p w14:paraId="117E6CDC"/>
    <w:sectPr>
      <w:headerReference r:id="rId3" w:type="default"/>
      <w:footerReference r:id="rId4"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001686">
    <w:pPr>
      <w:pStyle w:val="2"/>
      <w:jc w:val="center"/>
    </w:pPr>
    <w:r>
      <w:fldChar w:fldCharType="begin"/>
    </w:r>
    <w:r>
      <w:rPr>
        <w:rStyle w:val="6"/>
      </w:rPr>
      <w:instrText xml:space="preserve"> PAGE </w:instrText>
    </w:r>
    <w:r>
      <w:fldChar w:fldCharType="separate"/>
    </w:r>
    <w:r>
      <w:rPr>
        <w:rStyle w:val="6"/>
      </w:rPr>
      <w:t>1</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3485EC">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BB94D4F"/>
    <w:multiLevelType w:val="multilevel"/>
    <w:tmpl w:val="1BB94D4F"/>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
    <w:nsid w:val="35DF778B"/>
    <w:multiLevelType w:val="multilevel"/>
    <w:tmpl w:val="35DF778B"/>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
    <w:nsid w:val="6B1B3B19"/>
    <w:multiLevelType w:val="multilevel"/>
    <w:tmpl w:val="6B1B3B19"/>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
    <w:nsid w:val="75A47380"/>
    <w:multiLevelType w:val="multilevel"/>
    <w:tmpl w:val="75A47380"/>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VmYzc1MDUzMTRjODk3YzRjNjAyNDEzZmU0ZWNlZDQifQ=="/>
  </w:docVars>
  <w:rsids>
    <w:rsidRoot w:val="79786509"/>
    <w:rsid w:val="000254E8"/>
    <w:rsid w:val="000A4EFD"/>
    <w:rsid w:val="001B4B46"/>
    <w:rsid w:val="00214611"/>
    <w:rsid w:val="00306C3F"/>
    <w:rsid w:val="00331F6E"/>
    <w:rsid w:val="003917D7"/>
    <w:rsid w:val="005B1280"/>
    <w:rsid w:val="00652567"/>
    <w:rsid w:val="008F165F"/>
    <w:rsid w:val="0097004A"/>
    <w:rsid w:val="00BB760C"/>
    <w:rsid w:val="00C07EBB"/>
    <w:rsid w:val="00E2252A"/>
    <w:rsid w:val="00E829E6"/>
    <w:rsid w:val="00FB7A39"/>
    <w:rsid w:val="00FB7FF9"/>
    <w:rsid w:val="050109B6"/>
    <w:rsid w:val="3219260D"/>
    <w:rsid w:val="38533016"/>
    <w:rsid w:val="40E62B40"/>
    <w:rsid w:val="7088501D"/>
    <w:rsid w:val="71A23ADE"/>
    <w:rsid w:val="79786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Hewlett-Packard Company</Company>
  <Pages>10</Pages>
  <Words>3885</Words>
  <Characters>3959</Characters>
  <Lines>36</Lines>
  <Paragraphs>10</Paragraphs>
  <TotalTime>17</TotalTime>
  <ScaleCrop>false</ScaleCrop>
  <LinksUpToDate>false</LinksUpToDate>
  <CharactersWithSpaces>4858</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2022-07-04T04:21:00Z</dcterms:created>
  <dc:creator>Admin</dc:creator>
  <cp:lastModifiedBy>旅途</cp:lastModifiedBy>
  <cp:lastPrinted>2022-07-05T00:45:00Z</cp:lastPrinted>
  <dcterms:modified xsi:type="dcterms:W3CDTF">2024-09-30T07:20:08Z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B25FF1D741A8478194B7FA39A9B173C3</vt:lpwstr>
  </property>
</Properties>
</file>